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5C94075">
      <w:pPr>
        <w:spacing w:after="0" w:line="240" w:lineRule="auto"/>
        <w:jc w:val="left"/>
        <w:rPr>
          <w:rFonts w:ascii="Times New Roman" w:hAnsi="Times New Roman" w:eastAsia="Calibri" w:cs="Times New Roman"/>
          <w:sz w:val="24"/>
          <w:szCs w:val="24"/>
        </w:rPr>
      </w:pPr>
      <w:bookmarkStart w:id="1" w:name="_GoBack"/>
      <w:bookmarkEnd w:id="1"/>
      <w:r>
        <w:rPr>
          <w:rFonts w:eastAsia="Calibri" w:cs="Times New Roman"/>
        </w:rPr>
        <w:t xml:space="preserve">                     </w:t>
      </w:r>
      <w:r>
        <w:rPr>
          <w:rFonts w:eastAsia="Calibri" w:cs="Times New Roman"/>
        </w:rPr>
        <w:tab/>
      </w:r>
      <w:r>
        <w:rPr>
          <w:rFonts w:eastAsia="Calibri" w:cs="Times New Roman"/>
        </w:rPr>
        <w:tab/>
      </w:r>
      <w:r>
        <w:rPr>
          <w:rFonts w:eastAsia="Calibri" w:cs="Times New Roman"/>
        </w:rPr>
        <w:tab/>
      </w:r>
      <w:r>
        <w:rPr>
          <w:rFonts w:eastAsia="Calibri" w:cs="Times New Roman"/>
        </w:rPr>
        <w:tab/>
      </w:r>
      <w:r>
        <w:rPr>
          <w:rFonts w:eastAsia="Calibri" w:cs="Times New Roman"/>
        </w:rPr>
        <w:t xml:space="preserve">  </w:t>
      </w:r>
      <w:r>
        <w:rPr>
          <w:rFonts w:ascii="Times New Roman" w:hAnsi="Times New Roman" w:eastAsia="Calibri" w:cs="Times New Roman"/>
          <w:sz w:val="24"/>
          <w:szCs w:val="24"/>
        </w:rPr>
        <w:t>PATVIRTINTA</w:t>
      </w:r>
    </w:p>
    <w:p w14:paraId="74BAA676">
      <w:pPr>
        <w:spacing w:after="0" w:line="240" w:lineRule="auto"/>
        <w:jc w:val="left"/>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                  </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 Trakų r. Paluknio Longino Komolovskio </w:t>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 gimnazijos direktoriaus 2025 m. rugpjūčio 29 d. </w:t>
      </w:r>
      <w:r>
        <w:rPr>
          <w:rFonts w:ascii="Times New Roman" w:hAnsi="Times New Roman" w:eastAsia="Calibri" w:cs="Times New Roman"/>
          <w:color w:val="FF0000"/>
          <w:sz w:val="24"/>
          <w:szCs w:val="24"/>
        </w:rPr>
        <w:tab/>
      </w:r>
      <w:r>
        <w:rPr>
          <w:rFonts w:ascii="Times New Roman" w:hAnsi="Times New Roman" w:eastAsia="Calibri" w:cs="Times New Roman"/>
          <w:color w:val="FF0000"/>
          <w:sz w:val="24"/>
          <w:szCs w:val="24"/>
        </w:rPr>
        <w:tab/>
      </w:r>
      <w:r>
        <w:rPr>
          <w:rFonts w:ascii="Times New Roman" w:hAnsi="Times New Roman" w:eastAsia="Calibri" w:cs="Times New Roman"/>
          <w:color w:val="FF0000"/>
          <w:sz w:val="24"/>
          <w:szCs w:val="24"/>
        </w:rPr>
        <w:tab/>
      </w:r>
      <w:r>
        <w:rPr>
          <w:rFonts w:ascii="Times New Roman" w:hAnsi="Times New Roman" w:eastAsia="Calibri" w:cs="Times New Roman"/>
          <w:color w:val="FF0000"/>
          <w:sz w:val="24"/>
          <w:szCs w:val="24"/>
        </w:rPr>
        <w:t xml:space="preserve">                  </w:t>
      </w:r>
      <w:r>
        <w:rPr>
          <w:rFonts w:ascii="Times New Roman" w:hAnsi="Times New Roman" w:eastAsia="Calibri" w:cs="Times New Roman"/>
          <w:color w:val="FF0000"/>
          <w:sz w:val="24"/>
          <w:szCs w:val="24"/>
        </w:rPr>
        <w:tab/>
      </w:r>
      <w:r>
        <w:rPr>
          <w:rFonts w:ascii="Times New Roman" w:hAnsi="Times New Roman" w:eastAsia="Calibri" w:cs="Times New Roman"/>
          <w:sz w:val="24"/>
          <w:szCs w:val="24"/>
        </w:rPr>
        <w:t xml:space="preserve"> įsakymu Nr.V1-66</w:t>
      </w:r>
    </w:p>
    <w:p w14:paraId="597722C4">
      <w:pPr>
        <w:tabs>
          <w:tab w:val="left" w:pos="8364"/>
        </w:tabs>
        <w:spacing w:after="0" w:line="240" w:lineRule="auto"/>
        <w:ind w:left="5387"/>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r>
        <w:rPr>
          <w:rFonts w:ascii="Times New Roman" w:hAnsi="Times New Roman" w:cs="Times New Roman"/>
          <w:color w:val="FF0000"/>
          <w:sz w:val="24"/>
          <w:szCs w:val="24"/>
        </w:rPr>
        <w:tab/>
      </w:r>
    </w:p>
    <w:p w14:paraId="2F8588A0">
      <w:pPr>
        <w:spacing w:line="240" w:lineRule="auto"/>
        <w:rPr>
          <w:rFonts w:ascii="Times New Roman" w:hAnsi="Times New Roman" w:cs="Times New Roman"/>
          <w:sz w:val="24"/>
          <w:szCs w:val="24"/>
        </w:rPr>
      </w:pPr>
    </w:p>
    <w:p w14:paraId="57645E1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TRAKŲ R. PALUKNIO LONGINO KOMOLOVSKIO GIMNAZIJOS</w:t>
      </w:r>
    </w:p>
    <w:p w14:paraId="4E06241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DARBO APMOKĖJIMO SISTEMA</w:t>
      </w:r>
    </w:p>
    <w:p w14:paraId="5CA3C01A">
      <w:pPr>
        <w:pStyle w:val="33"/>
        <w:jc w:val="center"/>
        <w:rPr>
          <w:rFonts w:ascii="Times New Roman" w:hAnsi="Times New Roman" w:cs="Times New Roman"/>
          <w:b/>
          <w:bCs/>
          <w:sz w:val="24"/>
          <w:szCs w:val="24"/>
        </w:rPr>
      </w:pPr>
    </w:p>
    <w:p w14:paraId="110D8A4D">
      <w:pPr>
        <w:pStyle w:val="33"/>
        <w:jc w:val="center"/>
        <w:rPr>
          <w:rFonts w:ascii="Times New Roman" w:hAnsi="Times New Roman" w:cs="Times New Roman"/>
          <w:b/>
          <w:bCs/>
          <w:sz w:val="24"/>
          <w:szCs w:val="24"/>
        </w:rPr>
      </w:pPr>
      <w:r>
        <w:rPr>
          <w:rFonts w:ascii="Times New Roman" w:hAnsi="Times New Roman" w:cs="Times New Roman"/>
          <w:b/>
          <w:bCs/>
          <w:sz w:val="24"/>
          <w:szCs w:val="24"/>
        </w:rPr>
        <w:t>I SKYRIUS</w:t>
      </w:r>
    </w:p>
    <w:p w14:paraId="4F7F722E">
      <w:pPr>
        <w:pStyle w:val="33"/>
        <w:jc w:val="center"/>
        <w:rPr>
          <w:rFonts w:ascii="Times New Roman" w:hAnsi="Times New Roman" w:cs="Times New Roman"/>
          <w:b/>
          <w:bCs/>
          <w:sz w:val="24"/>
          <w:szCs w:val="24"/>
        </w:rPr>
      </w:pPr>
      <w:r>
        <w:rPr>
          <w:rFonts w:ascii="Times New Roman" w:hAnsi="Times New Roman" w:cs="Times New Roman"/>
          <w:b/>
          <w:bCs/>
          <w:sz w:val="24"/>
          <w:szCs w:val="24"/>
        </w:rPr>
        <w:t>BENDROSIOS NUOSTATOS</w:t>
      </w:r>
    </w:p>
    <w:p w14:paraId="674C301E">
      <w:pPr>
        <w:tabs>
          <w:tab w:val="left" w:pos="851"/>
        </w:tabs>
        <w:spacing w:after="0" w:line="240" w:lineRule="auto"/>
        <w:ind w:firstLine="851"/>
        <w:rPr>
          <w:rFonts w:ascii="Times New Roman" w:hAnsi="Times New Roman" w:cs="Times New Roman"/>
          <w:sz w:val="24"/>
          <w:szCs w:val="24"/>
        </w:rPr>
      </w:pPr>
    </w:p>
    <w:p w14:paraId="70DECDD4">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Trakų r. Paluknio Longino Komolovskio gimnazijos (toliau –gimnazija) darbuotojų darbo apmokėjimo sistema (toliau – sistema) reglamentuoja visų gimnazijos darbuotojų darbo apmokėjimo tvarką, detalizuoja pareiginės algos nustatymo kriterijus, darbo užmokesčio apskaičiavimą esant nukrypimams nuo normalių darbo sąlygų, atsiskaitymo su darbuotojais terminus, nustato darbuotojų kategorijas pagal pareigybes, nurodo kiekvienos pareigybės apmokėjimo formas ir darbo užmokesčio dydžius, papildomo apmokėjimo skyrimo pagrindus ir tvarką. </w:t>
      </w:r>
    </w:p>
    <w:p w14:paraId="2E8B438A">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Šios sistemos nuostatos parengtos vadovaujantis Lietuvos Respublikos darbo kodekso nuostatomis ir jas įgyvendinančiais teisės aktais, Lietuvos Respublikos biudžetinių įstaigų darbuotojų darbo apmokėjimo ir komisijos narių atlygio už darbą įstatymu (toliau – DAĮ), Lietuvos Respublikos Vyriausybės patvirtintomis darbo apmokėjimo sistemos nustatymo rekomendacijomis, gimnazijos darbo tvarkos taisyklėmis ir yra suderintos su kitais gimnazijos lokaliniais teisės aktais bei taikomos apskaičiuojant ir išmokant pagal darbo sutartis dirbančių darbuotojų darbo užmokestį.</w:t>
      </w:r>
    </w:p>
    <w:p w14:paraId="46894C19">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Gimnazijos direktorius, vadovaudamasis Lietuvos Respublikos ekonomikos ir inovacijų ministro patvirtintu Lietuvos profesijų klasifikatoriumi tvirtina gimnazijos darbuotojų pareigybių sąrašą ir pareigybių aprašymus.</w:t>
      </w:r>
    </w:p>
    <w:p w14:paraId="5A3B82D3">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Mokytojų pareigybių skaičius gimnazijos darbuotojų pareigybių sąraše nustatomas atsižvelgiant į Lietuvos Respublikos Vyriausybės nutarimu patvirtintą Mokymo lėšų apskaičiavimo, paskirstymo ir panaudojimo tvarkos aprašą, vadovaujantis kuriuo skiriamų etatų skaičius priklauso nuo pagal atitinkamas ugdymo programas dirbančių mokytojų kontaktinių valandų skaičiaus per mokslo metus vienai pareigybei, skaičiaus.</w:t>
      </w:r>
    </w:p>
    <w:p w14:paraId="343EC294">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 Gimnazijos darbuotojų pareigybės yra keturių lygių:</w:t>
      </w:r>
    </w:p>
    <w:p w14:paraId="00C86082">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A1 lygio – psichologo pareigybė, kuriai būtinas ne žemesnis kaip aukštasis universitetinis išsilavinimas su magistro kvalifikaciniu laipsniu ar jam prilygintu išsilavinimu</w:t>
      </w:r>
      <w:r>
        <w:rPr>
          <w:rFonts w:ascii="Times New Roman" w:hAnsi="Times New Roman" w:cs="Times New Roman"/>
          <w:color w:val="000000" w:themeColor="text1"/>
          <w:sz w:val="24"/>
          <w:szCs w:val="24"/>
          <w14:textFill>
            <w14:solidFill>
              <w14:schemeClr w14:val="tx1"/>
            </w14:solidFill>
          </w14:textFill>
        </w:rPr>
        <w:t>;</w:t>
      </w:r>
    </w:p>
    <w:p w14:paraId="36978B73">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color w:val="000000" w:themeColor="text1"/>
          <w:sz w:val="24"/>
          <w:szCs w:val="24"/>
          <w14:textFill>
            <w14:solidFill>
              <w14:schemeClr w14:val="tx1"/>
            </w14:solidFill>
          </w14:textFill>
        </w:rPr>
        <w:t>A2</w:t>
      </w:r>
      <w:r>
        <w:rPr>
          <w:rFonts w:ascii="Times New Roman" w:hAnsi="Times New Roman" w:cs="Times New Roman"/>
          <w:color w:val="FF0000"/>
          <w:sz w:val="24"/>
          <w:szCs w:val="24"/>
        </w:rPr>
        <w:t xml:space="preserve"> </w:t>
      </w:r>
      <w:r>
        <w:rPr>
          <w:rFonts w:ascii="Times New Roman" w:hAnsi="Times New Roman" w:cs="Times New Roman"/>
          <w:sz w:val="24"/>
          <w:szCs w:val="24"/>
        </w:rPr>
        <w:t>lygio – direktoriaus, pavaduotojų ugdymui, buhalterio, mokytojų, švietimo pagalbos specialistų, grupės auklėtojo, kurioms būtinas ne žemesnis kaip aukštasis universitetinis išsilavinimas su bakalauro kvalifikaciniu laipsniu ar jam prilygintu išsilavinimu arba aukštasis koleginis išsilavinimas su profesinio bakalauro kvalifikaciniu ar jam prilygintu išsilavinimu;</w:t>
      </w:r>
    </w:p>
    <w:p w14:paraId="6053A668">
      <w:pPr>
        <w:pStyle w:val="37"/>
        <w:numPr>
          <w:ilvl w:val="1"/>
          <w:numId w:val="1"/>
        </w:numPr>
        <w:shd w:val="clear" w:color="auto" w:fill="auto"/>
        <w:tabs>
          <w:tab w:val="left" w:pos="1526"/>
        </w:tabs>
        <w:spacing w:before="0" w:line="240" w:lineRule="auto"/>
        <w:rPr>
          <w:rFonts w:ascii="Times New Roman" w:hAnsi="Times New Roman" w:cs="Times New Roman"/>
          <w:color w:val="FF0000"/>
          <w:sz w:val="24"/>
          <w:szCs w:val="24"/>
        </w:rPr>
      </w:pPr>
      <w:r>
        <w:rPr>
          <w:rFonts w:ascii="Times New Roman" w:hAnsi="Times New Roman" w:cs="Times New Roman"/>
          <w:sz w:val="24"/>
          <w:szCs w:val="24"/>
        </w:rPr>
        <w:t>B</w:t>
      </w:r>
      <w:r>
        <w:rPr>
          <w:rFonts w:ascii="Times New Roman" w:hAnsi="Times New Roman" w:cs="Times New Roman"/>
          <w:color w:val="FF0000"/>
          <w:sz w:val="24"/>
          <w:szCs w:val="24"/>
        </w:rPr>
        <w:t xml:space="preserve"> </w:t>
      </w:r>
      <w:r>
        <w:rPr>
          <w:rFonts w:ascii="Times New Roman" w:hAnsi="Times New Roman" w:cs="Times New Roman"/>
          <w:sz w:val="24"/>
          <w:szCs w:val="24"/>
        </w:rPr>
        <w:t>lygio – ūkvedžio, buhalterio, kurioms būtinas ne žemesnis kaip aukštesnysis išsilavinimas, įgytas iki 2009 metų, ar specialusis vidurinis, įgytas iki 1995 metų;</w:t>
      </w:r>
    </w:p>
    <w:p w14:paraId="72C96A8D">
      <w:pPr>
        <w:pStyle w:val="37"/>
        <w:numPr>
          <w:ilvl w:val="1"/>
          <w:numId w:val="1"/>
        </w:numPr>
        <w:shd w:val="clear" w:color="auto" w:fill="auto"/>
        <w:tabs>
          <w:tab w:val="left" w:pos="1526"/>
        </w:tabs>
        <w:spacing w:before="0" w:line="240" w:lineRule="auto"/>
        <w:rPr>
          <w:rFonts w:ascii="Times New Roman" w:hAnsi="Times New Roman" w:cs="Times New Roman"/>
          <w:color w:val="FF0000"/>
          <w:sz w:val="24"/>
          <w:szCs w:val="24"/>
        </w:rPr>
      </w:pPr>
      <w:r>
        <w:rPr>
          <w:rFonts w:ascii="Times New Roman" w:hAnsi="Times New Roman" w:cs="Times New Roman"/>
          <w:sz w:val="24"/>
          <w:szCs w:val="24"/>
        </w:rPr>
        <w:t>C</w:t>
      </w:r>
      <w:r>
        <w:rPr>
          <w:rFonts w:ascii="Times New Roman" w:hAnsi="Times New Roman" w:cs="Times New Roman"/>
          <w:color w:val="FF0000"/>
          <w:sz w:val="24"/>
          <w:szCs w:val="24"/>
        </w:rPr>
        <w:t xml:space="preserve"> </w:t>
      </w:r>
      <w:r>
        <w:rPr>
          <w:rFonts w:ascii="Times New Roman" w:hAnsi="Times New Roman" w:cs="Times New Roman"/>
          <w:sz w:val="24"/>
          <w:szCs w:val="24"/>
        </w:rPr>
        <w:t>lygio – bibliotekininko,  mokytojo padėjėjo (nuo 2024-09-01– mokinio padėjėjo), ikimokyklinio ar priešmokyklinio ugdymo mokytojo padėjėjo, prailgintos dienos grupės specialisto, raštvedė, vyr. virėjos, virėjos, vairuotojo, mokyklos priežiūros darbuotojo, garso ir technikos darbuotojo, kompiuterinės technikos inžinierių, kurioms būtinas ne žemesnis kaip vidurinis išsilavinimas ir /ar įgyta profesinė kvalifikacija;</w:t>
      </w:r>
    </w:p>
    <w:p w14:paraId="7F1205D8">
      <w:pPr>
        <w:pStyle w:val="37"/>
        <w:numPr>
          <w:ilvl w:val="1"/>
          <w:numId w:val="1"/>
        </w:numPr>
        <w:shd w:val="clear" w:color="auto" w:fill="auto"/>
        <w:tabs>
          <w:tab w:val="left" w:pos="1526"/>
        </w:tabs>
        <w:spacing w:before="0" w:line="240" w:lineRule="auto"/>
        <w:rPr>
          <w:rFonts w:ascii="Times New Roman" w:hAnsi="Times New Roman" w:cs="Times New Roman"/>
          <w:color w:val="FF0000"/>
          <w:sz w:val="24"/>
          <w:szCs w:val="24"/>
        </w:rPr>
      </w:pPr>
      <w:r>
        <w:rPr>
          <w:rFonts w:ascii="Times New Roman" w:hAnsi="Times New Roman" w:cs="Times New Roman"/>
          <w:color w:val="000000" w:themeColor="text1"/>
          <w:sz w:val="24"/>
          <w:szCs w:val="24"/>
          <w14:textFill>
            <w14:solidFill>
              <w14:schemeClr w14:val="tx1"/>
            </w14:solidFill>
          </w14:textFill>
        </w:rPr>
        <w:t>D</w:t>
      </w:r>
      <w:r>
        <w:rPr>
          <w:rFonts w:ascii="Times New Roman" w:hAnsi="Times New Roman" w:cs="Times New Roman"/>
          <w:color w:val="FF0000"/>
          <w:sz w:val="24"/>
          <w:szCs w:val="24"/>
        </w:rPr>
        <w:t xml:space="preserve"> </w:t>
      </w:r>
      <w:r>
        <w:rPr>
          <w:rFonts w:ascii="Times New Roman" w:hAnsi="Times New Roman" w:cs="Times New Roman"/>
          <w:sz w:val="24"/>
          <w:szCs w:val="24"/>
        </w:rPr>
        <w:t>lygio – valytojo, kiemsargio, budėtojo, virtuvės pagalbinio darbuotojo, laboranto pareigybės, kurioms netaikomi išsilavinimo ar profesinės kvalifikacijos  reikalavimai.</w:t>
      </w:r>
    </w:p>
    <w:p w14:paraId="46809DBA">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Gimnazijos darbuotojų darbo užmokestį, priklausomai nuo atitinkamų reikalavimų (išsilavinimo, stažo, kvalifikacinės kategorijos), taikomų atitinkamos pareigybės darbo apmokėjimui sudaro:</w:t>
      </w:r>
    </w:p>
    <w:p w14:paraId="05A5219F">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pareiginė alga;</w:t>
      </w:r>
    </w:p>
    <w:p w14:paraId="0DB1E21D">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piniginė išmoka;</w:t>
      </w:r>
    </w:p>
    <w:p w14:paraId="0A35B34D">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mokėjimas už darbą poilsio ir švenčių dienomis, nakties ir viršvalandinį darbą, darbą, kai yra nukrypimų nuo normalių darbo sąlygų;</w:t>
      </w:r>
    </w:p>
    <w:p w14:paraId="606C9713">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priemokos;</w:t>
      </w:r>
    </w:p>
    <w:p w14:paraId="1728C1DE">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premijos;</w:t>
      </w:r>
    </w:p>
    <w:p w14:paraId="48D4A5E2">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kintamoji dalis (sistemoje numatytais atvejais).</w:t>
      </w:r>
    </w:p>
    <w:p w14:paraId="71773B22">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 Pareiginė alga gimnazijos darbuotojams nustatoma pareiginės algos koeficientą dauginant iš pareiginės algos bazinio dydžio. </w:t>
      </w:r>
    </w:p>
    <w:p w14:paraId="062482EA">
      <w:pPr>
        <w:spacing w:after="0" w:line="240" w:lineRule="auto"/>
        <w:rPr>
          <w:rFonts w:ascii="Times New Roman" w:hAnsi="Times New Roman" w:cs="Times New Roman"/>
          <w:sz w:val="24"/>
          <w:szCs w:val="24"/>
        </w:rPr>
      </w:pPr>
    </w:p>
    <w:p w14:paraId="41BEEC5A">
      <w:pPr>
        <w:pStyle w:val="33"/>
        <w:jc w:val="center"/>
        <w:rPr>
          <w:rFonts w:ascii="Times New Roman" w:hAnsi="Times New Roman" w:cs="Times New Roman"/>
          <w:b/>
          <w:bCs/>
          <w:sz w:val="24"/>
          <w:szCs w:val="24"/>
        </w:rPr>
      </w:pPr>
      <w:r>
        <w:rPr>
          <w:rFonts w:ascii="Times New Roman" w:hAnsi="Times New Roman" w:cs="Times New Roman"/>
          <w:b/>
          <w:bCs/>
          <w:sz w:val="24"/>
          <w:szCs w:val="24"/>
        </w:rPr>
        <w:t>II SKYRIUS</w:t>
      </w:r>
    </w:p>
    <w:p w14:paraId="547E0C04">
      <w:pPr>
        <w:pStyle w:val="33"/>
        <w:jc w:val="center"/>
        <w:rPr>
          <w:rFonts w:ascii="Times New Roman" w:hAnsi="Times New Roman" w:cs="Times New Roman"/>
          <w:b/>
          <w:bCs/>
          <w:sz w:val="24"/>
          <w:szCs w:val="24"/>
        </w:rPr>
      </w:pPr>
      <w:r>
        <w:rPr>
          <w:rFonts w:ascii="Times New Roman" w:hAnsi="Times New Roman" w:cs="Times New Roman"/>
          <w:b/>
          <w:bCs/>
          <w:sz w:val="24"/>
          <w:szCs w:val="24"/>
        </w:rPr>
        <w:t>DARBO APMOKĖJIMO ORGANIZAVIMAS</w:t>
      </w:r>
    </w:p>
    <w:p w14:paraId="029FCEB2">
      <w:pPr>
        <w:pStyle w:val="33"/>
        <w:jc w:val="center"/>
        <w:rPr>
          <w:rFonts w:ascii="Times New Roman" w:hAnsi="Times New Roman" w:cs="Times New Roman"/>
          <w:b/>
          <w:bCs/>
          <w:sz w:val="24"/>
          <w:szCs w:val="24"/>
        </w:rPr>
      </w:pPr>
    </w:p>
    <w:p w14:paraId="47C942F4">
      <w:pPr>
        <w:pStyle w:val="33"/>
        <w:jc w:val="center"/>
        <w:rPr>
          <w:rFonts w:ascii="Times New Roman" w:hAnsi="Times New Roman" w:cs="Times New Roman"/>
          <w:b/>
          <w:bCs/>
          <w:sz w:val="24"/>
          <w:szCs w:val="24"/>
        </w:rPr>
      </w:pPr>
      <w:r>
        <w:rPr>
          <w:rFonts w:ascii="Times New Roman" w:hAnsi="Times New Roman" w:cs="Times New Roman"/>
          <w:b/>
          <w:bCs/>
          <w:sz w:val="24"/>
          <w:szCs w:val="24"/>
        </w:rPr>
        <w:t>I SKIRSNIS</w:t>
      </w:r>
    </w:p>
    <w:p w14:paraId="0F1A5EA4">
      <w:pPr>
        <w:pStyle w:val="33"/>
        <w:jc w:val="center"/>
        <w:rPr>
          <w:rFonts w:ascii="Times New Roman" w:hAnsi="Times New Roman" w:cs="Times New Roman"/>
          <w:b/>
          <w:bCs/>
          <w:sz w:val="24"/>
          <w:szCs w:val="24"/>
        </w:rPr>
      </w:pPr>
      <w:r>
        <w:rPr>
          <w:rFonts w:ascii="Times New Roman" w:hAnsi="Times New Roman" w:cs="Times New Roman"/>
          <w:b/>
          <w:bCs/>
          <w:sz w:val="24"/>
          <w:szCs w:val="24"/>
        </w:rPr>
        <w:t>MINIMALUS DARBO UŽMOKESTIS. NEKVALIFIKUOTAS DARBAS</w:t>
      </w:r>
    </w:p>
    <w:p w14:paraId="01AD7573">
      <w:pPr>
        <w:pStyle w:val="33"/>
        <w:jc w:val="center"/>
        <w:rPr>
          <w:rFonts w:ascii="Times New Roman" w:hAnsi="Times New Roman" w:cs="Times New Roman"/>
          <w:b/>
          <w:bCs/>
          <w:sz w:val="24"/>
          <w:szCs w:val="24"/>
        </w:rPr>
      </w:pPr>
    </w:p>
    <w:p w14:paraId="767F7545">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Konkreti pareiginė alga, kitos darbo apmokėjimo formos ir sąlygos, darbo normos nustatomos su darbuotoju sudaromoje darbo sutartyje, kuri turi atitikti šios sistemos nuostatas.</w:t>
      </w:r>
    </w:p>
    <w:p w14:paraId="12C2D6A0">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Darbuotojų atliekamo darbo turinys, jo aprašymas, darbuotojams privalomi kvalifikaciniai reikalavimai, jei tokie taikomi atskirai pareigybei, privaloma ir savanoriška kvalifikacijos tobulinimo tvarka nustatomi darbuotojų pareigybės aprašuose ir / arba darbo sutartyse.</w:t>
      </w:r>
    </w:p>
    <w:p w14:paraId="57B07A96">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Gimnazijoje taikoma Lietuvos Respublikos Vyriausybės patvirtinta minimalioji mėnesinė alga ir minimalus valandinis atlygis.</w:t>
      </w:r>
    </w:p>
    <w:p w14:paraId="285BAAC1">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Minimalus darbo užmokestis – mažiausias leidžiamas atlygis už nekvalifikuotą darbą darbuotojui atitinkamai už vieną valandą ar visą kalendorinio mėnesio darbo laiko normą. </w:t>
      </w:r>
    </w:p>
    <w:p w14:paraId="5FB274EB">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Minimalus darbo užmokestis mokamas už nekvalifikuotą darbą. Nekvalifikuotu darbu laikomas darbas, kuriam atlikti nekeliami jokie specialūs kvalifikacinių įgūdžių ar profesinių gebėjimų reikalavimai.</w:t>
      </w:r>
    </w:p>
    <w:p w14:paraId="5C3C4E29">
      <w:pPr>
        <w:pStyle w:val="37"/>
        <w:numPr>
          <w:ilvl w:val="0"/>
          <w:numId w:val="1"/>
        </w:numPr>
        <w:shd w:val="clear" w:color="auto" w:fill="auto"/>
        <w:tabs>
          <w:tab w:val="left" w:pos="1526"/>
        </w:tabs>
        <w:spacing w:before="0" w:line="240" w:lineRule="auto"/>
        <w:rPr>
          <w:rFonts w:ascii="Times New Roman" w:hAnsi="Times New Roman" w:cs="Times New Roman"/>
          <w:sz w:val="24"/>
          <w:szCs w:val="24"/>
          <w:shd w:val="clear" w:color="auto" w:fill="FFFFFF"/>
        </w:rPr>
      </w:pPr>
      <w:r>
        <w:rPr>
          <w:rFonts w:ascii="Times New Roman" w:hAnsi="Times New Roman" w:cs="Times New Roman"/>
          <w:sz w:val="24"/>
          <w:szCs w:val="24"/>
        </w:rPr>
        <w:t>Pareigos gimnazijoje, priskirtinos prie nekvalifikuotų darbų, yra šios: valytojas, kiemsargis, budėtojas,</w:t>
      </w:r>
      <w:r>
        <w:t xml:space="preserve"> </w:t>
      </w:r>
      <w:r>
        <w:rPr>
          <w:rFonts w:ascii="Times New Roman" w:hAnsi="Times New Roman" w:cs="Times New Roman"/>
          <w:sz w:val="24"/>
          <w:szCs w:val="24"/>
        </w:rPr>
        <w:t>virtuvės pagalbinis darbuotojas, laborantas</w:t>
      </w:r>
      <w:r>
        <w:rPr>
          <w:rFonts w:ascii="Times New Roman" w:hAnsi="Times New Roman" w:cs="Times New Roman"/>
          <w:sz w:val="24"/>
          <w:szCs w:val="24"/>
          <w:shd w:val="clear" w:color="auto" w:fill="FFFFFF"/>
        </w:rPr>
        <w:t>.</w:t>
      </w:r>
    </w:p>
    <w:p w14:paraId="108F5F3A">
      <w:pPr>
        <w:pStyle w:val="37"/>
        <w:shd w:val="clear" w:color="auto" w:fill="auto"/>
        <w:tabs>
          <w:tab w:val="left" w:pos="1526"/>
        </w:tabs>
        <w:spacing w:before="0" w:line="240" w:lineRule="auto"/>
        <w:rPr>
          <w:rFonts w:ascii="Times New Roman" w:hAnsi="Times New Roman" w:cs="Times New Roman"/>
          <w:sz w:val="24"/>
          <w:szCs w:val="24"/>
          <w:shd w:val="clear" w:color="auto" w:fill="FFFFFF"/>
        </w:rPr>
      </w:pPr>
    </w:p>
    <w:p w14:paraId="6744EFDC">
      <w:pPr>
        <w:spacing w:after="0" w:line="24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t>II SKIRSNIS</w:t>
      </w:r>
    </w:p>
    <w:p w14:paraId="5AB2C92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MOKĖJIMAS UŽ VIRŠVALANDINĮ DARBĄ IR DARBĄ POILSIO IR ŠVENČIŲ DIENOMIS</w:t>
      </w:r>
    </w:p>
    <w:p w14:paraId="17DC9FA9">
      <w:pPr>
        <w:spacing w:after="0" w:line="240" w:lineRule="auto"/>
        <w:jc w:val="center"/>
        <w:rPr>
          <w:rFonts w:ascii="Times New Roman" w:hAnsi="Times New Roman" w:cs="Times New Roman"/>
          <w:b/>
          <w:bCs/>
          <w:sz w:val="24"/>
          <w:szCs w:val="24"/>
        </w:rPr>
      </w:pPr>
    </w:p>
    <w:p w14:paraId="05E5E7D8">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Dirbant daugiau kaip etatu tose pačiose pareigose, su darbuotoju darbo sutartyje sulygus dėl padidinto darbo masto, darbas nelaikomas viršvalandiniu ir darbuotojui mokamas įprastas darbo užmokestis.</w:t>
      </w:r>
    </w:p>
    <w:p w14:paraId="5FFC0DF4">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Už viršvalandinį darbą poilsio dieną, kuri nenustatyta pagal darbo grafiką, ar viršvalandinį darbą naktį mokamas dvigubas darbuotojo darbo užmokestis.</w:t>
      </w:r>
    </w:p>
    <w:p w14:paraId="63B0243A">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Už viršvalandinį darbą švenčių dieną mokamas dviejų su puse darbuotojo darbo užmokesčio dydžio užmokestis.</w:t>
      </w:r>
    </w:p>
    <w:p w14:paraId="1B0C5AC4">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Dirbant daugiau nei etatu tose pačiose pareigose, dėl padidinto darbų masto, darbas nelaikomas viršvalandiniu ir darbuotojui mokamas įprastas darbo užmokestis. </w:t>
      </w:r>
    </w:p>
    <w:p w14:paraId="776AB60F">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Už darbą švenčių dieną ar poilsio dieną, kuri nenustatyta pagal darbo grafiką, mokamas dvigubas darbuotojo darbo užmokestis arba darbuotojo prašymu gali būti suteikiamos dvi poilsio dienos, kurios pridedamos prie kasmetinių atostogų laiko ir apmokamos darbuotojo darbo užmokesčiu.</w:t>
      </w:r>
    </w:p>
    <w:p w14:paraId="2F499810">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Darbuotojui vykstant į komandiruotę Lietuvoje ar užsienyje vadovaujamasi Lietuvos Respublikos valstybės nutarimu „Dėl dienpinigių ir kitų komandiruočių išlaidų apmokėjimo“, avansas nemokamas.</w:t>
      </w:r>
    </w:p>
    <w:p w14:paraId="07B2271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III SKIRSNIS</w:t>
      </w:r>
    </w:p>
    <w:p w14:paraId="58930CA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DARBAS NE VISO DARBO LAIKO SĄLYGOMIS. DARBO LAIKO APSKAITA</w:t>
      </w:r>
    </w:p>
    <w:p w14:paraId="1C5A28D5">
      <w:pPr>
        <w:spacing w:after="0" w:line="240" w:lineRule="auto"/>
        <w:jc w:val="center"/>
        <w:rPr>
          <w:rFonts w:ascii="Times New Roman" w:hAnsi="Times New Roman" w:cs="Times New Roman"/>
          <w:b/>
          <w:bCs/>
          <w:color w:val="000000" w:themeColor="text1"/>
          <w:sz w:val="24"/>
          <w:szCs w:val="24"/>
          <w14:textFill>
            <w14:solidFill>
              <w14:schemeClr w14:val="tx1"/>
            </w14:solidFill>
          </w14:textFill>
        </w:rPr>
      </w:pPr>
    </w:p>
    <w:p w14:paraId="66B580A3">
      <w:pPr>
        <w:pStyle w:val="37"/>
        <w:numPr>
          <w:ilvl w:val="0"/>
          <w:numId w:val="1"/>
        </w:numPr>
        <w:shd w:val="clear" w:color="auto" w:fill="auto"/>
        <w:tabs>
          <w:tab w:val="left" w:pos="1526"/>
        </w:tabs>
        <w:spacing w:before="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Darbuotojui trumpinamas darbo laikas teisės aktų nustatyta tvarka.</w:t>
      </w:r>
    </w:p>
    <w:p w14:paraId="49DD4101">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Sutarus su darbuotoju, kad jis dirbs ne visą darbo laiką, darbo užmokestis mokamas to darbuotojo proporcingai dirbtam laikui.</w:t>
      </w:r>
    </w:p>
    <w:p w14:paraId="4813A418">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Darbas ne viso darbo laiko sąlygomis dirbantiems darbuotojams nesukelia ribojimų nustatant kasmetinių atostogų trukmę, apskaičiuojant darbo stažą, skiriant į aukštesnes pareigas, tobulinant kvalifikaciją, neapriboja kitų darbuotojo darbo teisių, palyginti su darbuotojais, kurie dirba tokį patį ar lygiavertį darbą viso darbo laiko sąlygomis, atsižvelgiant į darbo stažą, kvalifikaciją ar kitas aplinkybes.</w:t>
      </w:r>
    </w:p>
    <w:p w14:paraId="348B19AA">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Darbo laiko apskaita tvarkoma dokumentų valdymo sistemoje. </w:t>
      </w:r>
    </w:p>
    <w:p w14:paraId="57646CA4">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Darbo laiko apskaita tvarkoma mokyklos direktoriaus įsakymu patvirtinta darbo laiko apskaitos žiniaraščio pildymo tvarka nustatytos formos darbo laiko apskaitos žiniaraščiuose.</w:t>
      </w:r>
    </w:p>
    <w:p w14:paraId="42A8C045">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Užpildytus ir atsakingo asmens pasirašytus darbo laiko apskaitos žiniaraščius tvirtina gimnazijos direktorius. </w:t>
      </w:r>
    </w:p>
    <w:p w14:paraId="6F68A2A8">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Patvirtinti darbo laiko apskaitos žiniaraščiai pateikiami gimnazijos buhalterei per tris darbo dienas mėnesiui pasibaigus.</w:t>
      </w:r>
    </w:p>
    <w:p w14:paraId="718CC68E">
      <w:pPr>
        <w:shd w:val="clear" w:color="auto" w:fill="FFFFFF"/>
        <w:spacing w:after="0" w:line="240" w:lineRule="auto"/>
        <w:jc w:val="center"/>
        <w:rPr>
          <w:rFonts w:ascii="Times New Roman" w:hAnsi="Times New Roman" w:cs="Times New Roman"/>
          <w:b/>
          <w:bCs/>
          <w:sz w:val="24"/>
          <w:szCs w:val="24"/>
        </w:rPr>
      </w:pPr>
    </w:p>
    <w:p w14:paraId="244272CE">
      <w:pPr>
        <w:shd w:val="clear" w:color="auto" w:fill="FFFFFF"/>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IV SKIRSNIS</w:t>
      </w:r>
    </w:p>
    <w:p w14:paraId="243B1DB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KASMETINIŲ ATOSTOGŲ APMOKĖJIMAS</w:t>
      </w:r>
    </w:p>
    <w:p w14:paraId="0AF0610F">
      <w:pPr>
        <w:spacing w:after="0" w:line="240" w:lineRule="auto"/>
        <w:jc w:val="center"/>
        <w:rPr>
          <w:rFonts w:ascii="Times New Roman" w:hAnsi="Times New Roman" w:cs="Times New Roman"/>
          <w:b/>
          <w:bCs/>
          <w:sz w:val="24"/>
          <w:szCs w:val="24"/>
        </w:rPr>
      </w:pPr>
    </w:p>
    <w:p w14:paraId="42C832EC">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Kasmetinių atostogų laiku darbuotojui paliekamas jo vidutinis darbo užmokestis. Laikotarpis, iš kurio skaičiuojamas vidutinis darbo užmokestis, yra 3 paskutiniai kalendoriniai mėnesiai, einantys prieš tą mėnesį, už kurį (ar jo dalį) mokamas vidutinis darbo užmokestis.</w:t>
      </w:r>
    </w:p>
    <w:p w14:paraId="15566399">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Atostoginiai už visas suteiktas atostogas išmokami ne vėliau kaip paskutinę darbo dieną prieš kasmetinių atostogų pradžią.</w:t>
      </w:r>
    </w:p>
    <w:p w14:paraId="5AD72DDE">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Pedagoginių darbuotojų atostogų trukmė - 40 darbo dienų. Atostoginiai už atostogų dalį, viršijančią dvidešimt darbo dienų (dirbama penkias darbo dienas per savaitę) trukmę, darbuotojui mokami atostogų metu darbo užmokesčio mokėjimo tvarka ir terminais.</w:t>
      </w:r>
    </w:p>
    <w:p w14:paraId="2E37B295">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Darbuotojo atskiru prašymu, suteikus kasmetines atostogas, atostoginiai mokami įprasta darbo užmokesčio mokėjimo tvarka.</w:t>
      </w:r>
    </w:p>
    <w:p w14:paraId="29CADB57">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Atleidžiant darbuotoją, kuris atleidimo dieną turi nepanaudotų atostogų, už nepanaudotas atostogas mokama kompensacija.</w:t>
      </w:r>
    </w:p>
    <w:p w14:paraId="664D70F2">
      <w:pPr>
        <w:pStyle w:val="32"/>
        <w:spacing w:after="0" w:line="240" w:lineRule="auto"/>
        <w:ind w:left="0" w:firstLine="851"/>
        <w:jc w:val="center"/>
        <w:rPr>
          <w:rFonts w:ascii="Times New Roman" w:hAnsi="Times New Roman" w:cs="Times New Roman"/>
          <w:sz w:val="24"/>
          <w:szCs w:val="24"/>
          <w:shd w:val="clear" w:color="auto" w:fill="FFFFFF"/>
        </w:rPr>
      </w:pPr>
    </w:p>
    <w:p w14:paraId="43F2D3AC">
      <w:pPr>
        <w:spacing w:after="0" w:line="24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V SKIRSNIS</w:t>
      </w:r>
    </w:p>
    <w:p w14:paraId="078AC6CD">
      <w:pPr>
        <w:pStyle w:val="35"/>
        <w:shd w:val="clear" w:color="auto" w:fill="auto"/>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PRIEMOKŲ, PREMIJŲ, IŠMOKŲ MOKĖJIMO TVARKA IR SĄLYGOS. </w:t>
      </w:r>
    </w:p>
    <w:p w14:paraId="55AF4C91">
      <w:pPr>
        <w:pStyle w:val="35"/>
        <w:shd w:val="clear" w:color="auto" w:fill="auto"/>
        <w:spacing w:before="0" w:after="0" w:line="240" w:lineRule="auto"/>
        <w:rPr>
          <w:rFonts w:ascii="Times New Roman" w:hAnsi="Times New Roman" w:cs="Times New Roman"/>
          <w:sz w:val="24"/>
          <w:szCs w:val="24"/>
        </w:rPr>
      </w:pPr>
      <w:r>
        <w:rPr>
          <w:rFonts w:ascii="Times New Roman" w:hAnsi="Times New Roman" w:cs="Times New Roman"/>
          <w:sz w:val="24"/>
          <w:szCs w:val="24"/>
        </w:rPr>
        <w:t>DARBUOTOJŲ SKATINIMAS</w:t>
      </w:r>
    </w:p>
    <w:p w14:paraId="5631416B">
      <w:pPr>
        <w:pStyle w:val="35"/>
        <w:shd w:val="clear" w:color="auto" w:fill="auto"/>
        <w:spacing w:before="0" w:after="0" w:line="240" w:lineRule="auto"/>
        <w:rPr>
          <w:rFonts w:ascii="Times New Roman" w:hAnsi="Times New Roman" w:cs="Times New Roman"/>
          <w:sz w:val="24"/>
          <w:szCs w:val="24"/>
        </w:rPr>
      </w:pPr>
    </w:p>
    <w:p w14:paraId="411943C6">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Gimnazijos darbuotojams skatinti gali būti taikomos šios priemonės: </w:t>
      </w:r>
    </w:p>
    <w:p w14:paraId="6CD56FC0">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padėka (gali būti taikoma atskirai ar kartu su kitomis skatinimo priemonėmis);</w:t>
      </w:r>
    </w:p>
    <w:p w14:paraId="3F1119F2">
      <w:pPr>
        <w:pStyle w:val="37"/>
        <w:numPr>
          <w:ilvl w:val="1"/>
          <w:numId w:val="1"/>
        </w:numPr>
        <w:shd w:val="clear" w:color="auto" w:fill="auto"/>
        <w:tabs>
          <w:tab w:val="left" w:pos="1526"/>
        </w:tabs>
        <w:spacing w:before="0" w:line="240" w:lineRule="auto"/>
        <w:rPr>
          <w:rFonts w:ascii="Times New Roman" w:hAnsi="Times New Roman" w:cs="Times New Roman"/>
          <w:color w:val="FF0000"/>
          <w:sz w:val="24"/>
          <w:szCs w:val="24"/>
        </w:rPr>
      </w:pPr>
      <w:r>
        <w:rPr>
          <w:rFonts w:ascii="Times New Roman" w:hAnsi="Times New Roman" w:cs="Times New Roman"/>
          <w:sz w:val="24"/>
          <w:szCs w:val="24"/>
        </w:rPr>
        <w:t xml:space="preserve">iki 10 mokamų papildomų poilsio dienų (tačiau ne daugiau kaip 3 dienas iš jų ugdymo proceso metu) per mokslo metus suteikimas; </w:t>
      </w:r>
    </w:p>
    <w:p w14:paraId="7E2C5B84">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kvalifikacijos tobulinimo finansavimas ne didesne kaip gimnazijos darbuotojo vienos pareiginės algos dydžio suma per metus;</w:t>
      </w:r>
    </w:p>
    <w:p w14:paraId="102A5E9C">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iki 1 pareiginių algų dydžio pinigine išmoka (priklausomai nuo gimnazijoje turimų sutaupytų lėšų) ne dažniau kaip vieną kartą per kalendorinius metus už asmeninį išskirtinį indėlį įgyvendinant gimnazijai nustatytus tikslus arba už pasiektus rezultatus ir įgyvendintus uždavinius;</w:t>
      </w:r>
    </w:p>
    <w:p w14:paraId="02D2BCF6">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vienkartine pinigine išmoka Vyriausybės nustatyta tvarka;</w:t>
      </w:r>
    </w:p>
    <w:p w14:paraId="1AD58326">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premija gali būti mokama tik vieną kartą per metus ir tik jei darbuotojas per paskutinius 12 mėnesių nepadarė darbo pareigų pažeidimo. </w:t>
      </w:r>
    </w:p>
    <w:p w14:paraId="5ADC9D10">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atlikus vienkartines ypač svarbias gimnazijos veiklai užduotis.</w:t>
      </w:r>
    </w:p>
    <w:p w14:paraId="6777BAA6">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Skatinimo priemonės, numatytos laikotarpio galimos priklausomai nuo gimnazijoje turimų sutaupytų lėšų.</w:t>
      </w:r>
    </w:p>
    <w:p w14:paraId="0699666B">
      <w:pPr>
        <w:pStyle w:val="37"/>
        <w:numPr>
          <w:ilvl w:val="0"/>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Jei darbuotojas per paskutinius 6 mėnesius padarė darbo pareigų pažeidimą, jis neskatinamas, išskyrus atvejį, kai jo veikla įvertinama kaip viršijanti lūkesčius.</w:t>
      </w:r>
    </w:p>
    <w:p w14:paraId="45FAD24A">
      <w:pPr>
        <w:pStyle w:val="37"/>
        <w:numPr>
          <w:ilvl w:val="0"/>
          <w:numId w:val="1"/>
        </w:numPr>
        <w:shd w:val="clear" w:color="auto" w:fill="auto"/>
        <w:tabs>
          <w:tab w:val="left" w:pos="1526"/>
        </w:tabs>
        <w:spacing w:before="0" w:line="240" w:lineRule="auto"/>
        <w:rPr>
          <w:rFonts w:ascii="Times New Roman" w:hAnsi="Times New Roman" w:cs="Times New Roman"/>
          <w:strike/>
          <w:sz w:val="24"/>
          <w:szCs w:val="24"/>
        </w:rPr>
      </w:pPr>
      <w:r>
        <w:rPr>
          <w:rFonts w:ascii="Times New Roman" w:hAnsi="Times New Roman" w:cs="Times New Roman"/>
          <w:sz w:val="24"/>
          <w:szCs w:val="24"/>
        </w:rPr>
        <w:t>Gimnazijos direktoriaus įsakymu darbuotojams skiriamos priemokos nuo 10 iki 80 procentų pareiginės algos dydžio už:</w:t>
      </w:r>
    </w:p>
    <w:p w14:paraId="300A2588">
      <w:pPr>
        <w:pStyle w:val="32"/>
        <w:numPr>
          <w:ilvl w:val="1"/>
          <w:numId w:val="1"/>
        </w:numPr>
        <w:shd w:val="clear" w:color="auto" w:fill="FFFFFF"/>
        <w:tabs>
          <w:tab w:val="left" w:pos="567"/>
        </w:tabs>
        <w:spacing w:after="0" w:line="240" w:lineRule="auto"/>
        <w:ind w:left="0"/>
        <w:contextualSpacing/>
        <w:rPr>
          <w:rFonts w:ascii="Times New Roman" w:hAnsi="Times New Roman" w:cs="Times New Roman"/>
          <w:color w:val="1F497D"/>
          <w:sz w:val="24"/>
          <w:szCs w:val="24"/>
          <w:lang w:eastAsia="lt-LT"/>
        </w:rPr>
      </w:pPr>
      <w:r>
        <w:rPr>
          <w:rFonts w:ascii="Times New Roman" w:hAnsi="Times New Roman" w:cs="Times New Roman"/>
          <w:sz w:val="24"/>
          <w:szCs w:val="24"/>
        </w:rPr>
        <w:t>kito darbuotojo pavadavimą, kai raštu pavedama laikinai atlikti kito darbuotojo pareigybei nustatytas funkcijas:</w:t>
      </w:r>
    </w:p>
    <w:p w14:paraId="43899296">
      <w:pPr>
        <w:pStyle w:val="32"/>
        <w:numPr>
          <w:ilvl w:val="2"/>
          <w:numId w:val="1"/>
        </w:numPr>
        <w:shd w:val="clear" w:color="auto" w:fill="FFFFFF"/>
        <w:tabs>
          <w:tab w:val="left" w:pos="567"/>
        </w:tabs>
        <w:spacing w:after="0" w:line="240" w:lineRule="auto"/>
        <w:ind w:left="0"/>
        <w:contextualSpacing/>
        <w:rPr>
          <w:rFonts w:ascii="Times New Roman" w:hAnsi="Times New Roman" w:cs="Times New Roman"/>
          <w:color w:val="FF0000"/>
          <w:sz w:val="24"/>
          <w:szCs w:val="24"/>
          <w:lang w:eastAsia="lt-LT"/>
        </w:rPr>
      </w:pPr>
      <w:r>
        <w:rPr>
          <w:rFonts w:ascii="Times New Roman" w:hAnsi="Times New Roman" w:cs="Times New Roman"/>
          <w:sz w:val="24"/>
          <w:szCs w:val="24"/>
        </w:rPr>
        <w:t>direktoriaus pavaduotojui ugdymui, vykdančiam kito pavaduotojo ugdymui funkcijas pirmą mėnesį mokama 30 procentų pareiginės algos dydžio priemoka, antrą – trečią mėnesius – 50 procentų, ketvirtą – šeštą mėnesius – 70 procentų, daugiau kaip šešis mėnesius – 80 procentų;</w:t>
      </w:r>
    </w:p>
    <w:p w14:paraId="14430663">
      <w:pPr>
        <w:pStyle w:val="32"/>
        <w:numPr>
          <w:ilvl w:val="2"/>
          <w:numId w:val="1"/>
        </w:numPr>
        <w:shd w:val="clear" w:color="auto" w:fill="FFFFFF"/>
        <w:tabs>
          <w:tab w:val="left" w:pos="567"/>
        </w:tabs>
        <w:spacing w:after="0" w:line="240" w:lineRule="auto"/>
        <w:ind w:left="0"/>
        <w:contextualSpacing/>
        <w:rPr>
          <w:rFonts w:ascii="Times New Roman" w:hAnsi="Times New Roman" w:cs="Times New Roman"/>
          <w:color w:val="FF0000"/>
          <w:sz w:val="24"/>
          <w:szCs w:val="24"/>
          <w:lang w:eastAsia="lt-LT"/>
        </w:rPr>
      </w:pPr>
      <w:r>
        <w:rPr>
          <w:rFonts w:ascii="Times New Roman" w:hAnsi="Times New Roman" w:cs="Times New Roman"/>
          <w:sz w:val="24"/>
          <w:szCs w:val="24"/>
        </w:rPr>
        <w:t>darbuotojui, vykdančiam kitų darbuotojų (A, B, C lygio, išskyrus pedagoginių) dalį funkcijų, mokama 20 procentų pareiginės algos dydžio priemoka už 1 mėnesio pavadavimą, 30-70 procentų už pavadavimą nuo 2 – 6 mėnesių, priklausomai nuo atliekamų funkcijų pobūdžio, 80 procentų – vaduojant ilgiau kaip 6 mėnesius.</w:t>
      </w:r>
    </w:p>
    <w:p w14:paraId="55820227">
      <w:pPr>
        <w:pStyle w:val="32"/>
        <w:numPr>
          <w:ilvl w:val="1"/>
          <w:numId w:val="1"/>
        </w:numPr>
        <w:shd w:val="clear" w:color="auto" w:fill="FFFFFF"/>
        <w:tabs>
          <w:tab w:val="left" w:pos="567"/>
        </w:tabs>
        <w:spacing w:after="0" w:line="240" w:lineRule="auto"/>
        <w:ind w:left="0"/>
        <w:contextualSpacing/>
        <w:rPr>
          <w:rFonts w:ascii="Times New Roman" w:hAnsi="Times New Roman" w:cs="Times New Roman"/>
          <w:color w:val="1F497D"/>
          <w:sz w:val="24"/>
          <w:szCs w:val="24"/>
          <w:lang w:eastAsia="lt-LT"/>
        </w:rPr>
      </w:pPr>
      <w:r>
        <w:rPr>
          <w:rFonts w:ascii="Times New Roman" w:hAnsi="Times New Roman" w:cs="Times New Roman"/>
          <w:sz w:val="24"/>
          <w:szCs w:val="24"/>
        </w:rPr>
        <w:t>mokytojui:</w:t>
      </w:r>
    </w:p>
    <w:p w14:paraId="2D00A460">
      <w:pPr>
        <w:pStyle w:val="32"/>
        <w:numPr>
          <w:ilvl w:val="2"/>
          <w:numId w:val="1"/>
        </w:numPr>
        <w:shd w:val="clear" w:color="auto" w:fill="FFFFFF"/>
        <w:tabs>
          <w:tab w:val="left" w:pos="567"/>
        </w:tabs>
        <w:spacing w:after="0" w:line="240" w:lineRule="auto"/>
        <w:ind w:left="0"/>
        <w:contextualSpacing/>
        <w:rPr>
          <w:rFonts w:ascii="Times New Roman" w:hAnsi="Times New Roman" w:cs="Times New Roman"/>
          <w:color w:val="1F497D"/>
          <w:sz w:val="24"/>
          <w:szCs w:val="24"/>
          <w:lang w:eastAsia="lt-LT"/>
        </w:rPr>
      </w:pPr>
      <w:r>
        <w:rPr>
          <w:rFonts w:ascii="Times New Roman" w:hAnsi="Times New Roman" w:cs="Times New Roman"/>
          <w:sz w:val="24"/>
          <w:szCs w:val="24"/>
        </w:rPr>
        <w:t xml:space="preserve">pavaduojančiam pamokas nesutampančiu su jo darbo grafiku ar sutampančiu su jo darbo grafiku (tuo metu nevedant savo pamokos); </w:t>
      </w:r>
    </w:p>
    <w:p w14:paraId="0B71EA65">
      <w:pPr>
        <w:pStyle w:val="32"/>
        <w:numPr>
          <w:ilvl w:val="2"/>
          <w:numId w:val="1"/>
        </w:numPr>
        <w:shd w:val="clear" w:color="auto" w:fill="FFFFFF"/>
        <w:tabs>
          <w:tab w:val="left" w:pos="567"/>
        </w:tabs>
        <w:spacing w:after="0" w:line="240" w:lineRule="auto"/>
        <w:ind w:left="0"/>
        <w:contextualSpacing/>
        <w:rPr>
          <w:rFonts w:ascii="Times New Roman" w:hAnsi="Times New Roman" w:cs="Times New Roman"/>
          <w:color w:val="222222"/>
          <w:sz w:val="24"/>
          <w:szCs w:val="24"/>
          <w:lang w:eastAsia="lt-LT"/>
        </w:rPr>
      </w:pPr>
      <w:r>
        <w:rPr>
          <w:rFonts w:ascii="Times New Roman" w:hAnsi="Times New Roman" w:cs="Times New Roman"/>
          <w:sz w:val="24"/>
          <w:szCs w:val="24"/>
          <w:lang w:eastAsia="lt-LT"/>
        </w:rPr>
        <w:t xml:space="preserve">vaduojant pamokas grupių (klasių) jungimo būdu tuo metu, kai vedamos jo paties pamokos, mokama priemoka už pavaduotas pamokas, skaičiuojant dvi jungtas pamokas kaip vieną; </w:t>
      </w:r>
    </w:p>
    <w:p w14:paraId="0D92F5E8">
      <w:pPr>
        <w:pStyle w:val="32"/>
        <w:numPr>
          <w:ilvl w:val="2"/>
          <w:numId w:val="1"/>
        </w:numPr>
        <w:shd w:val="clear" w:color="auto" w:fill="FFFFFF"/>
        <w:tabs>
          <w:tab w:val="left" w:pos="567"/>
        </w:tabs>
        <w:spacing w:after="0" w:line="240" w:lineRule="auto"/>
        <w:ind w:left="0"/>
        <w:contextualSpacing/>
        <w:rPr>
          <w:rFonts w:ascii="Times New Roman" w:hAnsi="Times New Roman" w:cs="Times New Roman"/>
          <w:color w:val="222222"/>
          <w:sz w:val="24"/>
          <w:szCs w:val="24"/>
          <w:lang w:eastAsia="lt-LT"/>
        </w:rPr>
      </w:pPr>
      <w:r>
        <w:rPr>
          <w:rFonts w:ascii="Times New Roman" w:hAnsi="Times New Roman" w:cs="Times New Roman"/>
          <w:sz w:val="24"/>
          <w:szCs w:val="24"/>
        </w:rPr>
        <w:t>už mokymą namuose (kai jis mokiniui skiriamas ne nuo mokslo metų pradžios) mokamos priemokos už faktiškai dirbtas valandas su pasiruošimu pamokoms ir dėl veiklos sudėtingumo didinamas pareiginės algos koeficientas</w:t>
      </w:r>
      <w:r>
        <w:rPr>
          <w:rFonts w:ascii="Times New Roman" w:hAnsi="Times New Roman" w:cs="Times New Roman"/>
          <w:color w:val="000000" w:themeColor="text1"/>
          <w:sz w:val="24"/>
          <w:szCs w:val="24"/>
          <w14:textFill>
            <w14:solidFill>
              <w14:schemeClr w14:val="tx1"/>
            </w14:solidFill>
          </w14:textFill>
        </w:rPr>
        <w:t>.</w:t>
      </w:r>
    </w:p>
    <w:p w14:paraId="59F0862B">
      <w:pPr>
        <w:pStyle w:val="32"/>
        <w:numPr>
          <w:ilvl w:val="1"/>
          <w:numId w:val="1"/>
        </w:numPr>
        <w:shd w:val="clear" w:color="auto" w:fill="FFFFFF"/>
        <w:tabs>
          <w:tab w:val="left" w:pos="567"/>
        </w:tabs>
        <w:spacing w:after="0" w:line="240" w:lineRule="auto"/>
        <w:ind w:firstLine="131"/>
        <w:contextualSpacing/>
        <w:rPr>
          <w:rFonts w:ascii="Times New Roman" w:hAnsi="Times New Roman" w:cs="Times New Roman"/>
          <w:sz w:val="24"/>
          <w:szCs w:val="24"/>
          <w:lang w:eastAsia="lt-LT"/>
        </w:rPr>
      </w:pPr>
      <w:r>
        <w:rPr>
          <w:rFonts w:ascii="Times New Roman" w:hAnsi="Times New Roman" w:cs="Times New Roman"/>
          <w:sz w:val="24"/>
          <w:szCs w:val="24"/>
        </w:rPr>
        <w:t>kitiems D lygio darbuotojams:</w:t>
      </w:r>
    </w:p>
    <w:p w14:paraId="56842690">
      <w:pPr>
        <w:pStyle w:val="32"/>
        <w:numPr>
          <w:ilvl w:val="2"/>
          <w:numId w:val="1"/>
        </w:numPr>
        <w:shd w:val="clear" w:color="auto" w:fill="FFFFFF"/>
        <w:tabs>
          <w:tab w:val="left" w:pos="567"/>
        </w:tabs>
        <w:spacing w:after="0" w:line="240" w:lineRule="auto"/>
        <w:ind w:left="0"/>
        <w:contextualSpacing/>
        <w:rPr>
          <w:rFonts w:ascii="Times New Roman" w:hAnsi="Times New Roman" w:cs="Times New Roman"/>
          <w:sz w:val="24"/>
          <w:szCs w:val="24"/>
          <w:lang w:eastAsia="lt-LT"/>
        </w:rPr>
      </w:pPr>
      <w:r>
        <w:rPr>
          <w:rFonts w:ascii="Times New Roman" w:hAnsi="Times New Roman" w:cs="Times New Roman"/>
          <w:sz w:val="24"/>
          <w:szCs w:val="24"/>
          <w:lang w:eastAsia="lt-LT"/>
        </w:rPr>
        <w:t xml:space="preserve">valytojui </w:t>
      </w:r>
      <w:r>
        <w:rPr>
          <w:rFonts w:ascii="Times New Roman" w:hAnsi="Times New Roman" w:cs="Times New Roman"/>
          <w:sz w:val="24"/>
          <w:szCs w:val="24"/>
        </w:rPr>
        <w:t xml:space="preserve">– 30 procentų valant 1/3 papildomo ploto ne trumpiau kaip 7 darbo dienas, 50 procentų – valant 1/2 papildomo ploto ne trumpiau kaip 5 darbo dienas; </w:t>
      </w:r>
    </w:p>
    <w:p w14:paraId="74622D2E">
      <w:pPr>
        <w:pStyle w:val="32"/>
        <w:numPr>
          <w:ilvl w:val="2"/>
          <w:numId w:val="1"/>
        </w:numPr>
        <w:shd w:val="clear" w:color="auto" w:fill="FFFFFF"/>
        <w:tabs>
          <w:tab w:val="left" w:pos="567"/>
        </w:tabs>
        <w:spacing w:after="0" w:line="240" w:lineRule="auto"/>
        <w:ind w:left="0"/>
        <w:contextualSpacing/>
        <w:rPr>
          <w:rFonts w:ascii="Times New Roman" w:hAnsi="Times New Roman" w:cs="Times New Roman"/>
          <w:sz w:val="24"/>
          <w:szCs w:val="24"/>
          <w:lang w:eastAsia="lt-LT"/>
        </w:rPr>
      </w:pPr>
      <w:r>
        <w:rPr>
          <w:rFonts w:ascii="Times New Roman" w:hAnsi="Times New Roman" w:cs="Times New Roman"/>
          <w:sz w:val="24"/>
          <w:szCs w:val="24"/>
        </w:rPr>
        <w:t>skiriant 10 – 80 procentų pareiginės algos dydžio priemoką, už kito darbuotojo pavadavimą, priklausomai nuo darbų pobūdžio;</w:t>
      </w:r>
    </w:p>
    <w:p w14:paraId="2B00CFA9">
      <w:pPr>
        <w:pStyle w:val="32"/>
        <w:numPr>
          <w:ilvl w:val="1"/>
          <w:numId w:val="1"/>
        </w:numPr>
        <w:shd w:val="clear" w:color="auto" w:fill="FFFFFF"/>
        <w:tabs>
          <w:tab w:val="left" w:pos="567"/>
        </w:tabs>
        <w:spacing w:after="0" w:line="240" w:lineRule="auto"/>
        <w:ind w:left="0"/>
        <w:contextualSpacing/>
        <w:rPr>
          <w:rFonts w:ascii="Times New Roman" w:hAnsi="Times New Roman" w:cs="Times New Roman"/>
          <w:sz w:val="24"/>
          <w:szCs w:val="24"/>
          <w:lang w:eastAsia="lt-LT"/>
        </w:rPr>
      </w:pPr>
      <w:r>
        <w:rPr>
          <w:rFonts w:ascii="Times New Roman" w:hAnsi="Times New Roman" w:cs="Times New Roman"/>
          <w:sz w:val="24"/>
          <w:szCs w:val="24"/>
        </w:rPr>
        <w:t>papildomų užduočių, suformuluotų raštu, atlikimą, kai dėl to viršijamas įprastas darbo krūvis arba kai atliekamos pareigybės aprašyme nenumatytos funkcijos, mokama 10 – 80 procentų priemokos:</w:t>
      </w:r>
    </w:p>
    <w:p w14:paraId="7B5804FF">
      <w:pPr>
        <w:pStyle w:val="32"/>
        <w:numPr>
          <w:ilvl w:val="0"/>
          <w:numId w:val="1"/>
        </w:numPr>
        <w:tabs>
          <w:tab w:val="left" w:pos="567"/>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Pasikeitus aplinkybėms, dėl kurių buvo skirta priemoka, direktoriaus įsakymu priemokos dydis ir mokėjimo terminas gali būti pakeistas arba mokėjimas nutrauktas.</w:t>
      </w:r>
    </w:p>
    <w:p w14:paraId="7AC4A19F">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Išmokos skiriamos gimnazijos direktoriaus įsakymu, neviršijant darbuotojui nustatytos pareiginės algos dydžio ir neviršijant gimnazijai darbo užmokesčiui skirtų lėšų.</w:t>
      </w:r>
    </w:p>
    <w:p w14:paraId="361EE01A">
      <w:pPr>
        <w:pStyle w:val="37"/>
        <w:shd w:val="clear" w:color="auto" w:fill="auto"/>
        <w:tabs>
          <w:tab w:val="left" w:pos="1276"/>
        </w:tabs>
        <w:spacing w:before="0" w:line="240" w:lineRule="auto"/>
        <w:ind w:left="851"/>
        <w:rPr>
          <w:rFonts w:ascii="Times New Roman" w:hAnsi="Times New Roman" w:cs="Times New Roman"/>
          <w:sz w:val="24"/>
          <w:szCs w:val="24"/>
        </w:rPr>
      </w:pPr>
    </w:p>
    <w:p w14:paraId="19F38A35">
      <w:pPr>
        <w:tabs>
          <w:tab w:val="left" w:pos="1276"/>
        </w:tabs>
        <w:spacing w:after="0" w:line="24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t>VI SKIRSNIS</w:t>
      </w:r>
    </w:p>
    <w:p w14:paraId="2F09E0BB">
      <w:pPr>
        <w:tabs>
          <w:tab w:val="left" w:pos="1276"/>
        </w:tabs>
        <w:spacing w:after="0" w:line="24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t>DARBO UŽMOKESČIO MOKĖJIMO TERMINAI, TVARKA</w:t>
      </w:r>
    </w:p>
    <w:p w14:paraId="28FF38BB">
      <w:pPr>
        <w:tabs>
          <w:tab w:val="left" w:pos="1276"/>
        </w:tabs>
        <w:spacing w:after="0" w:line="240" w:lineRule="auto"/>
        <w:ind w:firstLine="851"/>
        <w:jc w:val="center"/>
        <w:rPr>
          <w:rFonts w:ascii="Times New Roman" w:hAnsi="Times New Roman" w:cs="Times New Roman"/>
          <w:b/>
          <w:bCs/>
          <w:sz w:val="24"/>
          <w:szCs w:val="24"/>
        </w:rPr>
      </w:pPr>
    </w:p>
    <w:p w14:paraId="62302CC2">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Darbo užmokestis darbuotojui mokamas ne rečiau kaip du kartus per mėnesį, o jeigu darbuotojas prašo, – kartą per mėnesį.</w:t>
      </w:r>
    </w:p>
    <w:p w14:paraId="3D54ACD2">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Darbuotojui per mėnesį nesant darbe 15 ir daugiau kalendorinių dienų dėl ligos, kasmetinių ar nemokamų atostogų, darbo užmokestis už pirmą mėnesio pusę (avansas) nemokamas.</w:t>
      </w:r>
    </w:p>
    <w:p w14:paraId="6D31EB9C">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Už darbą per kalendorinį mėnesį atsiskaitoma ne vėliau negu per dešimt darbo dienų nuo jo pabaigos, jeigu darbo teisės normos ar darbo sutartis nenustato kitaip.</w:t>
      </w:r>
    </w:p>
    <w:p w14:paraId="2F28B769">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Darbo užmokestis mokamas tik pinigais, pervedant į darbuotojo nurodytą asmeninę sąskaitą banke.</w:t>
      </w:r>
    </w:p>
    <w:p w14:paraId="4810F4CF">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Darbo sutarčiai pasibaigus, visos darbuotojo su darbo santykiais susijusios išmokos išmokamos, kai nutraukiama darbo sutartis su darbuotoju.</w:t>
      </w:r>
    </w:p>
    <w:p w14:paraId="4D8C95D8">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Ne rečiau kaip kartą per mėnesį elektroniniu būdu darbuotojui pateikiama informacija apie jam apskaičiuotas, išmokėtas ir išskaičiuotas sumas ir apie darbo laiko trukmę. </w:t>
      </w:r>
    </w:p>
    <w:p w14:paraId="255D67D9">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Darbuotojui prašant, darbdavys išduoda darbuotojui pažymą apie darbą gimnazijoje. Pažymoje nurodoma darbuotojo darbo funkcijos ir/ar pareigos, kiek laiko jis dirbo, darbo užmokesčio dydis ir sumokėtų mokesčių bei valstybinio socialinio draudimo įmokų dydis.</w:t>
      </w:r>
    </w:p>
    <w:p w14:paraId="0B65A449">
      <w:pPr>
        <w:tabs>
          <w:tab w:val="left" w:pos="1276"/>
        </w:tabs>
        <w:spacing w:after="0" w:line="240" w:lineRule="auto"/>
        <w:ind w:firstLine="851"/>
        <w:rPr>
          <w:rFonts w:ascii="Times New Roman" w:hAnsi="Times New Roman" w:cs="Times New Roman"/>
          <w:sz w:val="24"/>
          <w:szCs w:val="24"/>
        </w:rPr>
      </w:pPr>
    </w:p>
    <w:p w14:paraId="555C3DB0">
      <w:pPr>
        <w:tabs>
          <w:tab w:val="left" w:pos="1276"/>
        </w:tabs>
        <w:spacing w:after="0" w:line="24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t>VII SKIRSNIS</w:t>
      </w:r>
    </w:p>
    <w:p w14:paraId="4EB7797B">
      <w:pPr>
        <w:tabs>
          <w:tab w:val="left" w:pos="1276"/>
        </w:tabs>
        <w:spacing w:after="0" w:line="24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t>IŠSKAITOS IŠ DARBO UŽMOKESČIO</w:t>
      </w:r>
    </w:p>
    <w:p w14:paraId="6FBC36C7">
      <w:pPr>
        <w:tabs>
          <w:tab w:val="left" w:pos="1276"/>
        </w:tabs>
        <w:spacing w:after="0" w:line="240" w:lineRule="auto"/>
        <w:ind w:firstLine="851"/>
        <w:jc w:val="center"/>
        <w:rPr>
          <w:rFonts w:ascii="Times New Roman" w:hAnsi="Times New Roman" w:cs="Times New Roman"/>
          <w:b/>
          <w:bCs/>
          <w:sz w:val="24"/>
          <w:szCs w:val="24"/>
        </w:rPr>
      </w:pPr>
    </w:p>
    <w:p w14:paraId="579C27B0">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Iš priskaičiuoto darbo užmokesčio pagal nustatytus tarifus išskaičiuojama ir sumokama gyventojų pajamų mokestis ir socialinio draudimo įmokos.</w:t>
      </w:r>
    </w:p>
    <w:p w14:paraId="228E5AFE">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Išskaitos gali būti daromos šiais atvejais:</w:t>
      </w:r>
    </w:p>
    <w:p w14:paraId="4A458EED">
      <w:pPr>
        <w:pStyle w:val="37"/>
        <w:numPr>
          <w:ilvl w:val="1"/>
          <w:numId w:val="1"/>
        </w:numPr>
        <w:shd w:val="clear" w:color="auto" w:fill="auto"/>
        <w:tabs>
          <w:tab w:val="left" w:pos="1276"/>
          <w:tab w:val="left" w:pos="1418"/>
        </w:tabs>
        <w:spacing w:before="0" w:line="240" w:lineRule="auto"/>
        <w:rPr>
          <w:rFonts w:ascii="Times New Roman" w:hAnsi="Times New Roman" w:cs="Times New Roman"/>
          <w:sz w:val="24"/>
          <w:szCs w:val="24"/>
        </w:rPr>
      </w:pPr>
      <w:r>
        <w:rPr>
          <w:rFonts w:ascii="Times New Roman" w:hAnsi="Times New Roman" w:cs="Times New Roman"/>
          <w:sz w:val="24"/>
          <w:szCs w:val="24"/>
        </w:rPr>
        <w:t>grąžinti perduotoms ir darbuotojo nepanaudotoms pagal paskirtį darbdavio pinigų sumoms;</w:t>
      </w:r>
    </w:p>
    <w:p w14:paraId="6988ECF7">
      <w:pPr>
        <w:pStyle w:val="37"/>
        <w:numPr>
          <w:ilvl w:val="1"/>
          <w:numId w:val="1"/>
        </w:numPr>
        <w:shd w:val="clear" w:color="auto" w:fill="auto"/>
        <w:tabs>
          <w:tab w:val="left" w:pos="1276"/>
          <w:tab w:val="left" w:pos="1418"/>
        </w:tabs>
        <w:spacing w:before="0" w:line="240" w:lineRule="auto"/>
        <w:rPr>
          <w:rFonts w:ascii="Times New Roman" w:hAnsi="Times New Roman" w:cs="Times New Roman"/>
          <w:sz w:val="24"/>
          <w:szCs w:val="24"/>
        </w:rPr>
      </w:pPr>
      <w:r>
        <w:rPr>
          <w:rFonts w:ascii="Times New Roman" w:hAnsi="Times New Roman" w:cs="Times New Roman"/>
          <w:sz w:val="24"/>
          <w:szCs w:val="24"/>
        </w:rPr>
        <w:t>grąžinti sumoms, permokėtoms dėl skaičiavimo klaidų;</w:t>
      </w:r>
    </w:p>
    <w:p w14:paraId="44F7BBE3">
      <w:pPr>
        <w:pStyle w:val="37"/>
        <w:numPr>
          <w:ilvl w:val="1"/>
          <w:numId w:val="1"/>
        </w:numPr>
        <w:shd w:val="clear" w:color="auto" w:fill="auto"/>
        <w:tabs>
          <w:tab w:val="left" w:pos="1276"/>
          <w:tab w:val="left" w:pos="1418"/>
        </w:tabs>
        <w:spacing w:before="0" w:line="240" w:lineRule="auto"/>
        <w:rPr>
          <w:rFonts w:ascii="Times New Roman" w:hAnsi="Times New Roman" w:cs="Times New Roman"/>
          <w:sz w:val="24"/>
          <w:szCs w:val="24"/>
        </w:rPr>
      </w:pPr>
      <w:r>
        <w:rPr>
          <w:rFonts w:ascii="Times New Roman" w:hAnsi="Times New Roman" w:cs="Times New Roman"/>
          <w:sz w:val="24"/>
          <w:szCs w:val="24"/>
        </w:rPr>
        <w:t>atlyginti žalai, kurią darbuotojas dėl savo kaltės padarė darbdaviui;</w:t>
      </w:r>
    </w:p>
    <w:p w14:paraId="6EEFCC7A">
      <w:pPr>
        <w:pStyle w:val="37"/>
        <w:numPr>
          <w:ilvl w:val="1"/>
          <w:numId w:val="1"/>
        </w:numPr>
        <w:shd w:val="clear" w:color="auto" w:fill="auto"/>
        <w:tabs>
          <w:tab w:val="left" w:pos="1276"/>
          <w:tab w:val="left" w:pos="1418"/>
        </w:tabs>
        <w:spacing w:before="0" w:line="240" w:lineRule="auto"/>
        <w:rPr>
          <w:rFonts w:ascii="Times New Roman" w:hAnsi="Times New Roman" w:cs="Times New Roman"/>
          <w:sz w:val="24"/>
          <w:szCs w:val="24"/>
        </w:rPr>
      </w:pPr>
      <w:r>
        <w:rPr>
          <w:rFonts w:ascii="Times New Roman" w:hAnsi="Times New Roman" w:cs="Times New Roman"/>
          <w:sz w:val="24"/>
          <w:szCs w:val="24"/>
        </w:rPr>
        <w:t>išieškoti atostoginiams už suteiktas atostogas, viršijančias įgytą teisę į visos trukmės ar dalies kasmetines atostogas, darbo sutartį nutraukus darbuotojo iniciatyva be svarbių priežasčių arba dėl darbuotojo kaltės darbdavio iniciatyva;</w:t>
      </w:r>
    </w:p>
    <w:p w14:paraId="00845C6F">
      <w:pPr>
        <w:pStyle w:val="37"/>
        <w:numPr>
          <w:ilvl w:val="1"/>
          <w:numId w:val="1"/>
        </w:numPr>
        <w:shd w:val="clear" w:color="auto" w:fill="auto"/>
        <w:tabs>
          <w:tab w:val="left" w:pos="1276"/>
          <w:tab w:val="left" w:pos="1418"/>
        </w:tabs>
        <w:spacing w:before="0" w:line="240" w:lineRule="auto"/>
        <w:rPr>
          <w:rFonts w:ascii="Times New Roman" w:hAnsi="Times New Roman" w:cs="Times New Roman"/>
          <w:sz w:val="24"/>
          <w:szCs w:val="24"/>
        </w:rPr>
      </w:pPr>
      <w:r>
        <w:rPr>
          <w:rFonts w:ascii="Times New Roman" w:hAnsi="Times New Roman" w:cs="Times New Roman"/>
          <w:sz w:val="24"/>
          <w:szCs w:val="24"/>
        </w:rPr>
        <w:t>išieškant nustatytas sumas pagal vykdomuosius dokumentus (vykdomieji raštai, išduoti teismo sprendimų, nuosprendžių, nutarimų, nutarčių pagrindu; teismo įsakymai; institucijų ir pareigūnų nutarimai administracinių teisės pažeidimų bylose; kiti institucijų ir pareigūnų sprendimai, kurių vykdymą civilinio proceso tvarka nustato įstatymai).</w:t>
      </w:r>
    </w:p>
    <w:p w14:paraId="70DAC864">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Išskaita padaroma ne vėliau kaip per vieną mėnesį nuo tos dienos, kurią darbdavys sužinojo ar galėjo sužinoti apie atsiradusį išskaitos pagrindą.</w:t>
      </w:r>
    </w:p>
    <w:p w14:paraId="2B91D67F">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Siekiant teisingai paskaičiuoti gyventojų pajamų mokestį, kiekvienas darbuotojas buhalteriui pateikia laisvos formos prašymus, kokio dydžio pajamų neapmokestinamąjį dydį taikyti bei kitus dokumentus, įrodančius, jog būtent šį dydį priklauso taikyti. Jei darbuotojo pareiginis darbo užmokestis siekia arba viršija du tūkstančius aštuonis šimtus šešiasdešimt penkis eurus, prašymo dėl NPD teikti nereikia.</w:t>
      </w:r>
    </w:p>
    <w:p w14:paraId="1D9ED5D6">
      <w:pPr>
        <w:tabs>
          <w:tab w:val="left" w:pos="1276"/>
        </w:tabs>
        <w:spacing w:after="0" w:line="240" w:lineRule="auto"/>
        <w:ind w:firstLine="851"/>
        <w:jc w:val="center"/>
        <w:rPr>
          <w:rFonts w:ascii="Times New Roman" w:hAnsi="Times New Roman" w:cs="Times New Roman"/>
          <w:b/>
          <w:bCs/>
          <w:sz w:val="24"/>
          <w:szCs w:val="24"/>
        </w:rPr>
      </w:pPr>
    </w:p>
    <w:p w14:paraId="73D281BF">
      <w:pPr>
        <w:tabs>
          <w:tab w:val="left" w:pos="1276"/>
        </w:tabs>
        <w:spacing w:after="0" w:line="24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t>VIII SKIRSNIS</w:t>
      </w:r>
    </w:p>
    <w:p w14:paraId="6DC86A87">
      <w:pPr>
        <w:tabs>
          <w:tab w:val="left" w:pos="1276"/>
        </w:tabs>
        <w:spacing w:after="0" w:line="24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t>LIGOS PAŠALPOS MOKĖJIMAS</w:t>
      </w:r>
    </w:p>
    <w:p w14:paraId="3CABBDD8">
      <w:pPr>
        <w:tabs>
          <w:tab w:val="left" w:pos="1276"/>
        </w:tabs>
        <w:spacing w:after="0" w:line="240" w:lineRule="auto"/>
        <w:ind w:firstLine="851"/>
        <w:jc w:val="center"/>
        <w:rPr>
          <w:rFonts w:ascii="Times New Roman" w:hAnsi="Times New Roman" w:cs="Times New Roman"/>
          <w:b/>
          <w:bCs/>
          <w:sz w:val="24"/>
          <w:szCs w:val="24"/>
        </w:rPr>
      </w:pPr>
    </w:p>
    <w:p w14:paraId="239EEA9A">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Ligos pašalpa mokama už pirmąsias dvi kalendorines ligos dienas, sutampančias su darbuotojo darbo grafiku. Mokama ligos pašalpa negali būti mažesnė negu 62,06 procentų pašalpos gavėjo vidutinio uždarbio, apskaičiuoto Lietuvos Respublikos Vyriausybės nustatyta tvarka.</w:t>
      </w:r>
    </w:p>
    <w:p w14:paraId="09117C91">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Gimnazija moka 80,00 procentų ligos pašalpos gavėjo vidutinio darbo užmokesčio.</w:t>
      </w:r>
    </w:p>
    <w:p w14:paraId="229AD556">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Pagrindas skirti ligos išmoką yra nedarbingumo pažymėjimas, išduotas pagal sveikatos apsaugos ministro ir socialinės apsaugos ir darbo ministro tvirtinamas Elektroninių nedarbingumo pažymėjimų bei elektroninių nėštumo ir gimdymo atostogų pažymėjimų išdavimo taisykles.</w:t>
      </w:r>
    </w:p>
    <w:p w14:paraId="3DD51EC9">
      <w:pPr>
        <w:pStyle w:val="37"/>
        <w:shd w:val="clear" w:color="auto" w:fill="auto"/>
        <w:tabs>
          <w:tab w:val="left" w:pos="1276"/>
        </w:tabs>
        <w:spacing w:before="0" w:line="240" w:lineRule="auto"/>
        <w:ind w:left="851"/>
        <w:rPr>
          <w:rFonts w:ascii="Times New Roman" w:hAnsi="Times New Roman" w:cs="Times New Roman"/>
          <w:sz w:val="24"/>
          <w:szCs w:val="24"/>
        </w:rPr>
      </w:pPr>
    </w:p>
    <w:p w14:paraId="5659CDED">
      <w:pPr>
        <w:pStyle w:val="37"/>
        <w:shd w:val="clear" w:color="auto" w:fill="auto"/>
        <w:tabs>
          <w:tab w:val="left" w:pos="1276"/>
        </w:tabs>
        <w:spacing w:before="0" w:line="240" w:lineRule="auto"/>
        <w:ind w:left="851"/>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IX SKIRSNIS</w:t>
      </w:r>
    </w:p>
    <w:p w14:paraId="5A519DA4">
      <w:pPr>
        <w:pStyle w:val="37"/>
        <w:shd w:val="clear" w:color="auto" w:fill="auto"/>
        <w:tabs>
          <w:tab w:val="left" w:pos="1276"/>
        </w:tabs>
        <w:spacing w:before="0" w:line="240" w:lineRule="auto"/>
        <w:ind w:left="851"/>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MATERIALINĖS PAŠALPOS MOKĖJIMAS</w:t>
      </w:r>
    </w:p>
    <w:p w14:paraId="433554FE">
      <w:pPr>
        <w:pStyle w:val="37"/>
        <w:shd w:val="clear" w:color="auto" w:fill="auto"/>
        <w:tabs>
          <w:tab w:val="left" w:pos="1276"/>
        </w:tabs>
        <w:spacing w:before="0" w:line="240" w:lineRule="auto"/>
        <w:ind w:left="851"/>
        <w:jc w:val="center"/>
        <w:rPr>
          <w:rFonts w:ascii="Times New Roman" w:hAnsi="Times New Roman" w:cs="Times New Roman"/>
          <w:b/>
          <w:bCs/>
          <w:color w:val="000000" w:themeColor="text1"/>
          <w:sz w:val="24"/>
          <w:szCs w:val="24"/>
          <w14:textFill>
            <w14:solidFill>
              <w14:schemeClr w14:val="tx1"/>
            </w14:solidFill>
          </w14:textFill>
        </w:rPr>
      </w:pPr>
    </w:p>
    <w:p w14:paraId="5F7A1B1A">
      <w:pPr>
        <w:pStyle w:val="37"/>
        <w:numPr>
          <w:ilvl w:val="0"/>
          <w:numId w:val="1"/>
        </w:numPr>
        <w:shd w:val="clear" w:color="auto" w:fill="auto"/>
        <w:tabs>
          <w:tab w:val="left" w:pos="1276"/>
        </w:tabs>
        <w:spacing w:before="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Materialinės pašalpos dydis priklauso nuo konkrečių aplinkybių ir gimnazijai skirtų lėšų.</w:t>
      </w:r>
    </w:p>
    <w:p w14:paraId="65B1A8BC">
      <w:pPr>
        <w:pStyle w:val="37"/>
        <w:numPr>
          <w:ilvl w:val="0"/>
          <w:numId w:val="1"/>
        </w:numPr>
        <w:shd w:val="clear" w:color="auto" w:fill="auto"/>
        <w:tabs>
          <w:tab w:val="left" w:pos="1276"/>
        </w:tabs>
        <w:spacing w:before="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Gimnazijos darbuotojams, kurių materialinė būklė tapo sunki dėl jų pačių ligos, sutuoktinio ar partnerio (kai partnerystė įregistruota įstatymų nustatyta tvarka), jo tėvų, vaikų (įvaikių), brolių (įbrolių) ir seserų (įseserių), taip pat išlaikytinių, kurių globėjais ar rūpintojais įstatymų nustatyta tvarka yra paskirti gimnazijos darbuotojai, ligos ar mirties, stichinės nelaimės ar turto netekimo, gali būti skiriama iki 5 MMA dydžio materialinė pašalpa, jeigu yra pateikti šių darbuotojų rašytiniai prašymai ir atitinkamą aplinkybę patvirtinantys dokumentai.</w:t>
      </w:r>
    </w:p>
    <w:p w14:paraId="7A8C66DA">
      <w:pPr>
        <w:pStyle w:val="37"/>
        <w:numPr>
          <w:ilvl w:val="0"/>
          <w:numId w:val="1"/>
        </w:numPr>
        <w:shd w:val="clear" w:color="auto" w:fill="auto"/>
        <w:tabs>
          <w:tab w:val="left" w:pos="1276"/>
        </w:tabs>
        <w:spacing w:before="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Mirus gimnazijos darbuotojui, jo šeimos nariams (sutuoktiniui, vaikams, (įvaikiams), motinai (įmotei), tėvui (įtėviui) iš gimnazijai skirtų lėšų gali būti išmokama iki 5 MMA dydžio materialinė pašalpa, jeigu yra pateiktas rašytinis prašymas ir atitinkamą aplinkybę patvirtinantys dokumentai.</w:t>
      </w:r>
    </w:p>
    <w:p w14:paraId="0817F48E">
      <w:pPr>
        <w:spacing w:after="0" w:line="240" w:lineRule="auto"/>
        <w:jc w:val="center"/>
        <w:rPr>
          <w:rFonts w:ascii="Times New Roman" w:hAnsi="Times New Roman" w:cs="Times New Roman"/>
          <w:b/>
          <w:bCs/>
          <w:sz w:val="24"/>
          <w:szCs w:val="24"/>
        </w:rPr>
      </w:pPr>
    </w:p>
    <w:p w14:paraId="2961334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III SKYRIUS</w:t>
      </w:r>
    </w:p>
    <w:p w14:paraId="4922F78A">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GIMNAZIJOJE PATVIRTINTŲ PAREIGYBIŲ DARBO APMOKĖJIMO SĄLYGOS</w:t>
      </w:r>
    </w:p>
    <w:p w14:paraId="5D7F4C1D">
      <w:pPr>
        <w:pStyle w:val="35"/>
        <w:shd w:val="clear" w:color="auto" w:fill="auto"/>
        <w:tabs>
          <w:tab w:val="left" w:pos="4166"/>
        </w:tabs>
        <w:spacing w:before="0" w:after="0" w:line="240" w:lineRule="auto"/>
        <w:rPr>
          <w:rFonts w:ascii="Times New Roman" w:hAnsi="Times New Roman" w:cs="Times New Roman"/>
          <w:sz w:val="24"/>
          <w:szCs w:val="24"/>
        </w:rPr>
      </w:pPr>
      <w:r>
        <w:rPr>
          <w:rFonts w:ascii="Times New Roman" w:hAnsi="Times New Roman" w:cs="Times New Roman"/>
          <w:sz w:val="24"/>
          <w:szCs w:val="24"/>
        </w:rPr>
        <w:t>I SKIRSNIS</w:t>
      </w:r>
    </w:p>
    <w:p w14:paraId="7797CC5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PAREIGINĖS ALGOS KOEFICIENTO NUSTATYMO GIMNAZIJOS DARBUOTOJAMS KRITERIJAI</w:t>
      </w:r>
    </w:p>
    <w:p w14:paraId="15876E0B">
      <w:pPr>
        <w:pStyle w:val="32"/>
        <w:spacing w:after="0" w:line="240" w:lineRule="auto"/>
        <w:ind w:left="0" w:firstLine="851"/>
        <w:rPr>
          <w:rFonts w:ascii="Times New Roman" w:hAnsi="Times New Roman" w:cs="Times New Roman"/>
          <w:sz w:val="24"/>
          <w:szCs w:val="24"/>
        </w:rPr>
      </w:pPr>
    </w:p>
    <w:p w14:paraId="07954B48">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Gimnazijos direktorius, nustatydamas pareiginės algos koeficientą darbuotojams, vadovaujasi DAĮ bei atsižvelgia į gimnazijai skirtas lėšas.</w:t>
      </w:r>
    </w:p>
    <w:p w14:paraId="0575ADE0">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Gimnazijos direktorius įsakymu tvirtina gimnazijos pareigybių sąrašą, pareigybių lygius ir pareigybių aprašus. </w:t>
      </w:r>
    </w:p>
    <w:p w14:paraId="0E9C1E01">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A1 lygio pareigybėms (psichologui) pareiginės algos koeficientas didinamas 20 proc.</w:t>
      </w:r>
    </w:p>
    <w:p w14:paraId="1637C59D">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Gimnazijos mokytojų, švietimo pagalbos specialistų kvalifikacinės kategorijos nustatomos Švietimo, mokslo ir sporto ministro nustatyta tvarka.</w:t>
      </w:r>
    </w:p>
    <w:p w14:paraId="74A4C2D1">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Gimnazijoje patvirtintos  pareigybės, jų darbo apmokėjimas:</w:t>
      </w:r>
    </w:p>
    <w:p w14:paraId="4E2AFB42">
      <w:pPr>
        <w:pStyle w:val="37"/>
        <w:numPr>
          <w:ilvl w:val="1"/>
          <w:numId w:val="1"/>
        </w:numPr>
        <w:shd w:val="clear" w:color="auto" w:fill="auto"/>
        <w:tabs>
          <w:tab w:val="left" w:pos="851"/>
          <w:tab w:val="left" w:pos="1560"/>
        </w:tabs>
        <w:spacing w:before="0" w:line="240" w:lineRule="auto"/>
        <w:ind w:left="802" w:firstLine="49"/>
        <w:rPr>
          <w:rFonts w:ascii="Times New Roman" w:hAnsi="Times New Roman" w:cs="Times New Roman"/>
          <w:sz w:val="24"/>
          <w:szCs w:val="24"/>
        </w:rPr>
      </w:pPr>
      <w:r>
        <w:rPr>
          <w:rFonts w:ascii="Times New Roman" w:hAnsi="Times New Roman" w:cs="Times New Roman"/>
          <w:sz w:val="24"/>
          <w:szCs w:val="24"/>
        </w:rPr>
        <w:t>gimnazijos vadovu pareiginės algos koeficientai:</w:t>
      </w:r>
    </w:p>
    <w:tbl>
      <w:tblPr>
        <w:tblStyle w:val="12"/>
        <w:tblW w:w="10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04"/>
        <w:gridCol w:w="2369"/>
        <w:gridCol w:w="3090"/>
        <w:gridCol w:w="2410"/>
      </w:tblGrid>
      <w:tr w14:paraId="36FD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5" w:hRule="atLeast"/>
          <w:tblHeader/>
        </w:trPr>
        <w:tc>
          <w:tcPr>
            <w:tcW w:w="2304" w:type="dxa"/>
            <w:vMerge w:val="restart"/>
            <w:tcBorders>
              <w:right w:val="single" w:color="auto" w:sz="4" w:space="0"/>
            </w:tcBorders>
            <w:tcMar>
              <w:top w:w="0" w:type="dxa"/>
              <w:left w:w="108" w:type="dxa"/>
              <w:bottom w:w="0" w:type="dxa"/>
              <w:right w:w="108" w:type="dxa"/>
            </w:tcMar>
            <w:vAlign w:val="center"/>
          </w:tcPr>
          <w:p w14:paraId="15C6579A">
            <w:pPr>
              <w:widowControl w:val="0"/>
              <w:spacing w:after="0" w:line="240" w:lineRule="auto"/>
              <w:ind w:right="240" w:firstLine="57"/>
              <w:jc w:val="center"/>
              <w:rPr>
                <w:rFonts w:ascii="Times New Roman" w:hAnsi="Times New Roman" w:cs="Times New Roman"/>
                <w:sz w:val="24"/>
                <w:szCs w:val="24"/>
                <w:lang w:eastAsia="lt-LT"/>
              </w:rPr>
            </w:pPr>
            <w:r>
              <w:rPr>
                <w:rFonts w:ascii="Times New Roman" w:hAnsi="Times New Roman" w:cs="Times New Roman"/>
                <w:sz w:val="24"/>
                <w:szCs w:val="24"/>
                <w:lang w:eastAsia="lt-LT"/>
              </w:rPr>
              <w:t xml:space="preserve">Mokinių skaičius </w:t>
            </w:r>
          </w:p>
        </w:tc>
        <w:tc>
          <w:tcPr>
            <w:tcW w:w="7869"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51B64F7">
            <w:pPr>
              <w:widowControl w:val="0"/>
              <w:spacing w:after="0" w:line="240" w:lineRule="auto"/>
              <w:ind w:right="240"/>
              <w:jc w:val="center"/>
              <w:rPr>
                <w:rFonts w:ascii="Times New Roman" w:hAnsi="Times New Roman" w:cs="Times New Roman"/>
                <w:sz w:val="24"/>
                <w:szCs w:val="24"/>
                <w:lang w:eastAsia="lt-LT"/>
              </w:rPr>
            </w:pPr>
            <w:r>
              <w:rPr>
                <w:rFonts w:ascii="Times New Roman" w:hAnsi="Times New Roman" w:cs="Times New Roman"/>
                <w:bCs/>
                <w:sz w:val="24"/>
                <w:szCs w:val="24"/>
              </w:rPr>
              <w:t>Pareiginės algos</w:t>
            </w:r>
            <w:r>
              <w:rPr>
                <w:rFonts w:ascii="Times New Roman" w:hAnsi="Times New Roman" w:cs="Times New Roman"/>
                <w:sz w:val="24"/>
                <w:szCs w:val="24"/>
              </w:rPr>
              <w:t xml:space="preserve"> </w:t>
            </w:r>
            <w:r>
              <w:rPr>
                <w:rFonts w:ascii="Times New Roman" w:hAnsi="Times New Roman" w:cs="Times New Roman"/>
                <w:sz w:val="24"/>
                <w:szCs w:val="24"/>
                <w:lang w:eastAsia="lt-LT"/>
              </w:rPr>
              <w:t xml:space="preserve">koeficientai </w:t>
            </w:r>
          </w:p>
        </w:tc>
      </w:tr>
      <w:tr w14:paraId="4525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5" w:hRule="atLeast"/>
          <w:tblHeader/>
        </w:trPr>
        <w:tc>
          <w:tcPr>
            <w:tcW w:w="2304" w:type="dxa"/>
            <w:vMerge w:val="continue"/>
            <w:tcBorders>
              <w:right w:val="single" w:color="auto" w:sz="4" w:space="0"/>
            </w:tcBorders>
            <w:tcMar>
              <w:top w:w="0" w:type="dxa"/>
              <w:left w:w="108" w:type="dxa"/>
              <w:bottom w:w="0" w:type="dxa"/>
              <w:right w:w="108" w:type="dxa"/>
            </w:tcMar>
            <w:vAlign w:val="center"/>
          </w:tcPr>
          <w:p w14:paraId="2FEC9FF4">
            <w:pPr>
              <w:widowControl w:val="0"/>
              <w:spacing w:after="0" w:line="240" w:lineRule="auto"/>
              <w:ind w:right="240"/>
              <w:jc w:val="center"/>
              <w:rPr>
                <w:rFonts w:ascii="Times New Roman" w:hAnsi="Times New Roman" w:cs="Times New Roman"/>
                <w:sz w:val="24"/>
                <w:szCs w:val="24"/>
                <w:lang w:eastAsia="lt-LT"/>
              </w:rPr>
            </w:pPr>
          </w:p>
        </w:tc>
        <w:tc>
          <w:tcPr>
            <w:tcW w:w="7869"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3C12E9B">
            <w:pPr>
              <w:widowControl w:val="0"/>
              <w:spacing w:after="0" w:line="240" w:lineRule="auto"/>
              <w:ind w:right="240"/>
              <w:jc w:val="center"/>
              <w:rPr>
                <w:rFonts w:ascii="Times New Roman" w:hAnsi="Times New Roman" w:cs="Times New Roman"/>
                <w:sz w:val="24"/>
                <w:szCs w:val="24"/>
                <w:lang w:eastAsia="lt-LT"/>
              </w:rPr>
            </w:pPr>
            <w:r>
              <w:rPr>
                <w:rFonts w:ascii="Times New Roman" w:hAnsi="Times New Roman" w:cs="Times New Roman"/>
                <w:sz w:val="24"/>
                <w:szCs w:val="24"/>
                <w:lang w:eastAsia="lt-LT"/>
              </w:rPr>
              <w:t>Pedagoginio darbo stažas (metais)</w:t>
            </w:r>
          </w:p>
        </w:tc>
      </w:tr>
      <w:tr w14:paraId="79C2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blHeader/>
        </w:trPr>
        <w:tc>
          <w:tcPr>
            <w:tcW w:w="2304" w:type="dxa"/>
            <w:vMerge w:val="continue"/>
            <w:tcBorders>
              <w:right w:val="single" w:color="auto" w:sz="4" w:space="0"/>
            </w:tcBorders>
            <w:vAlign w:val="center"/>
          </w:tcPr>
          <w:p w14:paraId="52FA45CF">
            <w:pPr>
              <w:widowControl w:val="0"/>
              <w:spacing w:after="0" w:line="240" w:lineRule="auto"/>
              <w:jc w:val="left"/>
              <w:rPr>
                <w:rFonts w:ascii="Times New Roman" w:hAnsi="Times New Roman" w:cs="Times New Roman"/>
                <w:sz w:val="24"/>
                <w:szCs w:val="24"/>
                <w:lang w:eastAsia="lt-LT"/>
              </w:rPr>
            </w:pPr>
          </w:p>
        </w:tc>
        <w:tc>
          <w:tcPr>
            <w:tcW w:w="2369"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654EA0B">
            <w:pPr>
              <w:widowControl w:val="0"/>
              <w:spacing w:after="0" w:line="240" w:lineRule="auto"/>
              <w:ind w:right="240"/>
              <w:jc w:val="center"/>
              <w:rPr>
                <w:rFonts w:ascii="Times New Roman" w:hAnsi="Times New Roman" w:cs="Times New Roman"/>
                <w:sz w:val="24"/>
                <w:szCs w:val="24"/>
                <w:lang w:eastAsia="lt-LT"/>
              </w:rPr>
            </w:pPr>
            <w:r>
              <w:rPr>
                <w:rFonts w:ascii="Times New Roman" w:hAnsi="Times New Roman" w:cs="Times New Roman"/>
                <w:sz w:val="24"/>
                <w:szCs w:val="24"/>
                <w:lang w:eastAsia="lt-LT"/>
              </w:rPr>
              <w:t>iki 10</w:t>
            </w:r>
          </w:p>
        </w:tc>
        <w:tc>
          <w:tcPr>
            <w:tcW w:w="3090"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2A38BA6">
            <w:pPr>
              <w:widowControl w:val="0"/>
              <w:spacing w:after="0" w:line="240" w:lineRule="auto"/>
              <w:ind w:right="240"/>
              <w:jc w:val="center"/>
              <w:rPr>
                <w:rFonts w:ascii="Times New Roman" w:hAnsi="Times New Roman" w:cs="Times New Roman"/>
                <w:sz w:val="24"/>
                <w:szCs w:val="24"/>
                <w:lang w:eastAsia="lt-LT"/>
              </w:rPr>
            </w:pPr>
            <w:r>
              <w:rPr>
                <w:rFonts w:ascii="Times New Roman" w:hAnsi="Times New Roman" w:cs="Times New Roman"/>
                <w:sz w:val="24"/>
                <w:szCs w:val="24"/>
                <w:lang w:eastAsia="lt-LT"/>
              </w:rPr>
              <w:t>nuo daugiau kaip 10 iki 15</w:t>
            </w:r>
          </w:p>
        </w:tc>
        <w:tc>
          <w:tcPr>
            <w:tcW w:w="2410"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314F79">
            <w:pPr>
              <w:widowControl w:val="0"/>
              <w:spacing w:after="0" w:line="240" w:lineRule="auto"/>
              <w:ind w:right="240"/>
              <w:jc w:val="center"/>
              <w:rPr>
                <w:rFonts w:ascii="Times New Roman" w:hAnsi="Times New Roman" w:cs="Times New Roman"/>
                <w:sz w:val="24"/>
                <w:szCs w:val="24"/>
                <w:lang w:eastAsia="lt-LT"/>
              </w:rPr>
            </w:pPr>
            <w:r>
              <w:rPr>
                <w:rFonts w:ascii="Times New Roman" w:hAnsi="Times New Roman" w:cs="Times New Roman"/>
                <w:sz w:val="24"/>
                <w:szCs w:val="24"/>
                <w:lang w:eastAsia="lt-LT"/>
              </w:rPr>
              <w:t>daugiau kaip 15</w:t>
            </w:r>
          </w:p>
        </w:tc>
      </w:tr>
      <w:tr w14:paraId="03BC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6" w:hRule="atLeast"/>
          <w:tblHeader/>
        </w:trPr>
        <w:tc>
          <w:tcPr>
            <w:tcW w:w="2304" w:type="dxa"/>
            <w:vMerge w:val="continue"/>
            <w:tcBorders>
              <w:right w:val="single" w:color="auto" w:sz="4" w:space="0"/>
            </w:tcBorders>
            <w:vAlign w:val="center"/>
          </w:tcPr>
          <w:p w14:paraId="3C3CFF58">
            <w:pPr>
              <w:widowControl w:val="0"/>
              <w:spacing w:after="0" w:line="240" w:lineRule="auto"/>
              <w:jc w:val="left"/>
              <w:rPr>
                <w:rFonts w:ascii="Times New Roman" w:hAnsi="Times New Roman" w:cs="Times New Roman"/>
                <w:sz w:val="24"/>
                <w:szCs w:val="24"/>
                <w:lang w:eastAsia="lt-LT"/>
              </w:rPr>
            </w:pPr>
          </w:p>
        </w:tc>
        <w:tc>
          <w:tcPr>
            <w:tcW w:w="2369" w:type="dxa"/>
            <w:vMerge w:val="continue"/>
            <w:tcBorders>
              <w:top w:val="single" w:color="auto" w:sz="4" w:space="0"/>
              <w:left w:val="single" w:color="auto" w:sz="4" w:space="0"/>
              <w:bottom w:val="single" w:color="auto" w:sz="4" w:space="0"/>
              <w:right w:val="single" w:color="auto" w:sz="4" w:space="0"/>
            </w:tcBorders>
            <w:vAlign w:val="center"/>
          </w:tcPr>
          <w:p w14:paraId="0B1C9DD3">
            <w:pPr>
              <w:widowControl w:val="0"/>
              <w:spacing w:after="0" w:line="240" w:lineRule="auto"/>
              <w:jc w:val="left"/>
              <w:rPr>
                <w:rFonts w:ascii="Times New Roman" w:hAnsi="Times New Roman" w:cs="Times New Roman"/>
                <w:sz w:val="24"/>
                <w:szCs w:val="24"/>
                <w:lang w:eastAsia="lt-LT"/>
              </w:rPr>
            </w:pPr>
          </w:p>
        </w:tc>
        <w:tc>
          <w:tcPr>
            <w:tcW w:w="3090" w:type="dxa"/>
            <w:vMerge w:val="continue"/>
            <w:tcBorders>
              <w:top w:val="single" w:color="auto" w:sz="4" w:space="0"/>
              <w:left w:val="single" w:color="auto" w:sz="4" w:space="0"/>
              <w:bottom w:val="single" w:color="auto" w:sz="4" w:space="0"/>
              <w:right w:val="single" w:color="auto" w:sz="4" w:space="0"/>
            </w:tcBorders>
            <w:vAlign w:val="center"/>
          </w:tcPr>
          <w:p w14:paraId="63DF6CBC">
            <w:pPr>
              <w:widowControl w:val="0"/>
              <w:spacing w:after="0" w:line="240" w:lineRule="auto"/>
              <w:jc w:val="left"/>
              <w:rPr>
                <w:rFonts w:ascii="Times New Roman" w:hAnsi="Times New Roman" w:cs="Times New Roman"/>
                <w:sz w:val="24"/>
                <w:szCs w:val="24"/>
                <w:lang w:eastAsia="lt-LT"/>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0D5B5446">
            <w:pPr>
              <w:widowControl w:val="0"/>
              <w:spacing w:after="0" w:line="240" w:lineRule="auto"/>
              <w:jc w:val="left"/>
              <w:rPr>
                <w:rFonts w:ascii="Times New Roman" w:hAnsi="Times New Roman" w:cs="Times New Roman"/>
                <w:sz w:val="24"/>
                <w:szCs w:val="24"/>
                <w:lang w:eastAsia="lt-LT"/>
              </w:rPr>
            </w:pPr>
          </w:p>
        </w:tc>
      </w:tr>
      <w:tr w14:paraId="15D26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 w:hRule="atLeast"/>
        </w:trPr>
        <w:tc>
          <w:tcPr>
            <w:tcW w:w="2304" w:type="dxa"/>
            <w:tcBorders>
              <w:right w:val="single" w:color="auto" w:sz="4" w:space="0"/>
            </w:tcBorders>
            <w:noWrap/>
            <w:tcMar>
              <w:top w:w="0" w:type="dxa"/>
              <w:left w:w="108" w:type="dxa"/>
              <w:bottom w:w="0" w:type="dxa"/>
              <w:right w:w="108" w:type="dxa"/>
            </w:tcMar>
            <w:vAlign w:val="center"/>
          </w:tcPr>
          <w:p w14:paraId="77FC6AE4">
            <w:pPr>
              <w:widowControl w:val="0"/>
              <w:spacing w:after="0" w:line="240" w:lineRule="auto"/>
              <w:ind w:right="240"/>
              <w:jc w:val="left"/>
              <w:rPr>
                <w:rFonts w:ascii="Times New Roman" w:hAnsi="Times New Roman" w:cs="Times New Roman"/>
                <w:sz w:val="24"/>
                <w:szCs w:val="24"/>
                <w:lang w:eastAsia="lt-LT"/>
              </w:rPr>
            </w:pPr>
            <w:r>
              <w:rPr>
                <w:rFonts w:ascii="Times New Roman" w:hAnsi="Times New Roman" w:cs="Times New Roman"/>
                <w:sz w:val="24"/>
                <w:szCs w:val="24"/>
                <w:lang w:eastAsia="lt-LT"/>
              </w:rPr>
              <w:t>iki 200</w:t>
            </w:r>
          </w:p>
        </w:tc>
        <w:tc>
          <w:tcPr>
            <w:tcW w:w="2369"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99DAF5B">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2,1703</w:t>
            </w:r>
          </w:p>
        </w:tc>
        <w:tc>
          <w:tcPr>
            <w:tcW w:w="3090"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15CF9B9">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2,2492</w:t>
            </w:r>
          </w:p>
        </w:tc>
        <w:tc>
          <w:tcPr>
            <w:tcW w:w="2410"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6E4E283">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2,3035</w:t>
            </w:r>
          </w:p>
        </w:tc>
      </w:tr>
      <w:tr w14:paraId="4D5A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 w:hRule="atLeast"/>
        </w:trPr>
        <w:tc>
          <w:tcPr>
            <w:tcW w:w="2304" w:type="dxa"/>
            <w:tcBorders>
              <w:right w:val="single" w:color="auto" w:sz="4" w:space="0"/>
            </w:tcBorders>
            <w:noWrap/>
            <w:tcMar>
              <w:top w:w="0" w:type="dxa"/>
              <w:left w:w="108" w:type="dxa"/>
              <w:bottom w:w="0" w:type="dxa"/>
              <w:right w:w="108" w:type="dxa"/>
            </w:tcMar>
            <w:vAlign w:val="center"/>
          </w:tcPr>
          <w:p w14:paraId="43BF7F13">
            <w:pPr>
              <w:widowControl w:val="0"/>
              <w:spacing w:after="0" w:line="240" w:lineRule="auto"/>
              <w:ind w:right="240"/>
              <w:jc w:val="left"/>
              <w:rPr>
                <w:rFonts w:ascii="Times New Roman" w:hAnsi="Times New Roman" w:cs="Times New Roman"/>
                <w:sz w:val="24"/>
                <w:szCs w:val="24"/>
                <w:lang w:eastAsia="lt-LT"/>
              </w:rPr>
            </w:pPr>
            <w:r>
              <w:rPr>
                <w:rFonts w:ascii="Times New Roman" w:hAnsi="Times New Roman" w:cs="Times New Roman"/>
                <w:sz w:val="24"/>
                <w:szCs w:val="24"/>
                <w:lang w:eastAsia="lt-LT"/>
              </w:rPr>
              <w:t>201–400</w:t>
            </w:r>
          </w:p>
        </w:tc>
        <w:tc>
          <w:tcPr>
            <w:tcW w:w="2369"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47ACE40">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2,3710</w:t>
            </w:r>
          </w:p>
        </w:tc>
        <w:tc>
          <w:tcPr>
            <w:tcW w:w="3090"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64738A1">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2,3914</w:t>
            </w:r>
          </w:p>
        </w:tc>
        <w:tc>
          <w:tcPr>
            <w:tcW w:w="2410"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55447FD">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2,3928</w:t>
            </w:r>
          </w:p>
        </w:tc>
      </w:tr>
    </w:tbl>
    <w:p w14:paraId="752A7F99">
      <w:pPr>
        <w:pStyle w:val="37"/>
        <w:shd w:val="clear" w:color="auto" w:fill="auto"/>
        <w:tabs>
          <w:tab w:val="left" w:pos="851"/>
          <w:tab w:val="left" w:pos="1560"/>
        </w:tabs>
        <w:spacing w:before="0" w:line="240" w:lineRule="auto"/>
        <w:rPr>
          <w:rFonts w:ascii="Times New Roman" w:hAnsi="Times New Roman" w:cs="Times New Roman"/>
          <w:sz w:val="24"/>
          <w:szCs w:val="24"/>
        </w:rPr>
      </w:pPr>
    </w:p>
    <w:p w14:paraId="3DE97FDE">
      <w:pPr>
        <w:pStyle w:val="37"/>
        <w:numPr>
          <w:ilvl w:val="1"/>
          <w:numId w:val="1"/>
        </w:numPr>
        <w:shd w:val="clear" w:color="auto" w:fill="auto"/>
        <w:tabs>
          <w:tab w:val="left" w:pos="851"/>
          <w:tab w:val="left" w:pos="1560"/>
        </w:tabs>
        <w:spacing w:before="0" w:line="240" w:lineRule="auto"/>
        <w:ind w:left="802" w:firstLine="49"/>
        <w:rPr>
          <w:rFonts w:ascii="Times New Roman" w:hAnsi="Times New Roman" w:cs="Times New Roman"/>
          <w:sz w:val="24"/>
          <w:szCs w:val="24"/>
        </w:rPr>
      </w:pPr>
      <w:r>
        <w:rPr>
          <w:rFonts w:ascii="Times New Roman" w:hAnsi="Times New Roman" w:cs="Times New Roman"/>
          <w:sz w:val="24"/>
          <w:szCs w:val="24"/>
        </w:rPr>
        <w:t>gimnazijos direktoriaus pavaduotojas ugdymui:</w:t>
      </w:r>
    </w:p>
    <w:p w14:paraId="034D1291">
      <w:pPr>
        <w:pStyle w:val="37"/>
        <w:numPr>
          <w:ilvl w:val="2"/>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nustatomas fiksuotas mėnesinis darbo užmokestis pareiginės algos koeficientą nustatant pagal DAĮ 2 priedą, atsižvelgiant į mokinių skaičių ir pedagoginio darbo stažą bei veiklos sudėtingumą:</w:t>
      </w:r>
    </w:p>
    <w:tbl>
      <w:tblPr>
        <w:tblStyle w:val="12"/>
        <w:tblW w:w="1017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523"/>
        <w:gridCol w:w="2155"/>
        <w:gridCol w:w="2948"/>
        <w:gridCol w:w="2552"/>
      </w:tblGrid>
      <w:tr w14:paraId="43AC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523" w:type="dxa"/>
            <w:vMerge w:val="restart"/>
            <w:tcMar>
              <w:top w:w="0" w:type="dxa"/>
              <w:left w:w="108" w:type="dxa"/>
              <w:bottom w:w="0" w:type="dxa"/>
              <w:right w:w="108" w:type="dxa"/>
            </w:tcMar>
            <w:vAlign w:val="center"/>
          </w:tcPr>
          <w:p w14:paraId="2F065AA4">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Mokinių skaičius</w:t>
            </w:r>
          </w:p>
        </w:tc>
        <w:tc>
          <w:tcPr>
            <w:tcW w:w="7655" w:type="dxa"/>
            <w:gridSpan w:val="3"/>
            <w:tcMar>
              <w:top w:w="0" w:type="dxa"/>
              <w:left w:w="108" w:type="dxa"/>
              <w:bottom w:w="0" w:type="dxa"/>
              <w:right w:w="108" w:type="dxa"/>
            </w:tcMar>
          </w:tcPr>
          <w:p w14:paraId="21D00066">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rPr>
              <w:t xml:space="preserve">Pareiginės algos </w:t>
            </w:r>
            <w:r>
              <w:rPr>
                <w:rFonts w:ascii="Times New Roman" w:hAnsi="Times New Roman" w:cs="Times New Roman"/>
                <w:bCs/>
                <w:sz w:val="24"/>
                <w:szCs w:val="24"/>
                <w:lang w:eastAsia="lt-LT"/>
              </w:rPr>
              <w:t>koeficientai</w:t>
            </w:r>
          </w:p>
        </w:tc>
      </w:tr>
      <w:tr w14:paraId="6AA5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8" w:hRule="atLeast"/>
        </w:trPr>
        <w:tc>
          <w:tcPr>
            <w:tcW w:w="2523" w:type="dxa"/>
            <w:vMerge w:val="continue"/>
            <w:vAlign w:val="center"/>
          </w:tcPr>
          <w:p w14:paraId="3B64F827">
            <w:pPr>
              <w:widowControl w:val="0"/>
              <w:spacing w:after="0" w:line="240" w:lineRule="auto"/>
              <w:jc w:val="left"/>
              <w:rPr>
                <w:rFonts w:ascii="Times New Roman" w:hAnsi="Times New Roman" w:cs="Times New Roman"/>
                <w:sz w:val="24"/>
                <w:szCs w:val="24"/>
                <w:lang w:eastAsia="lt-LT"/>
              </w:rPr>
            </w:pPr>
          </w:p>
        </w:tc>
        <w:tc>
          <w:tcPr>
            <w:tcW w:w="7655" w:type="dxa"/>
            <w:gridSpan w:val="3"/>
            <w:tcMar>
              <w:top w:w="0" w:type="dxa"/>
              <w:left w:w="108" w:type="dxa"/>
              <w:bottom w:w="0" w:type="dxa"/>
              <w:right w:w="108" w:type="dxa"/>
            </w:tcMar>
          </w:tcPr>
          <w:p w14:paraId="2B90BCBF">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Pedagoginio darbo stažas (metais)</w:t>
            </w:r>
          </w:p>
        </w:tc>
      </w:tr>
      <w:tr w14:paraId="710FF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trPr>
        <w:tc>
          <w:tcPr>
            <w:tcW w:w="2523" w:type="dxa"/>
            <w:vMerge w:val="continue"/>
            <w:vAlign w:val="center"/>
          </w:tcPr>
          <w:p w14:paraId="72756BCB">
            <w:pPr>
              <w:widowControl w:val="0"/>
              <w:spacing w:after="0" w:line="240" w:lineRule="auto"/>
              <w:jc w:val="left"/>
              <w:rPr>
                <w:rFonts w:ascii="Times New Roman" w:hAnsi="Times New Roman" w:cs="Times New Roman"/>
                <w:sz w:val="24"/>
                <w:szCs w:val="24"/>
                <w:lang w:eastAsia="lt-LT"/>
              </w:rPr>
            </w:pPr>
          </w:p>
        </w:tc>
        <w:tc>
          <w:tcPr>
            <w:tcW w:w="2155" w:type="dxa"/>
            <w:tcMar>
              <w:top w:w="0" w:type="dxa"/>
              <w:left w:w="108" w:type="dxa"/>
              <w:bottom w:w="0" w:type="dxa"/>
              <w:right w:w="108" w:type="dxa"/>
            </w:tcMar>
            <w:vAlign w:val="center"/>
          </w:tcPr>
          <w:p w14:paraId="1DB549C1">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iki 10</w:t>
            </w:r>
          </w:p>
        </w:tc>
        <w:tc>
          <w:tcPr>
            <w:tcW w:w="2948" w:type="dxa"/>
            <w:tcMar>
              <w:top w:w="0" w:type="dxa"/>
              <w:left w:w="108" w:type="dxa"/>
              <w:bottom w:w="0" w:type="dxa"/>
              <w:right w:w="108" w:type="dxa"/>
            </w:tcMar>
            <w:vAlign w:val="center"/>
          </w:tcPr>
          <w:p w14:paraId="4EDB2018">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nuo daugiau kaip 10 iki 15</w:t>
            </w:r>
          </w:p>
        </w:tc>
        <w:tc>
          <w:tcPr>
            <w:tcW w:w="2552" w:type="dxa"/>
            <w:tcMar>
              <w:top w:w="0" w:type="dxa"/>
              <w:left w:w="108" w:type="dxa"/>
              <w:bottom w:w="0" w:type="dxa"/>
              <w:right w:w="108" w:type="dxa"/>
            </w:tcMar>
            <w:vAlign w:val="center"/>
          </w:tcPr>
          <w:p w14:paraId="476B0E49">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daugiau kaip 15</w:t>
            </w:r>
          </w:p>
        </w:tc>
      </w:tr>
      <w:tr w14:paraId="5508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trPr>
        <w:tc>
          <w:tcPr>
            <w:tcW w:w="2523" w:type="dxa"/>
            <w:tcMar>
              <w:top w:w="0" w:type="dxa"/>
              <w:left w:w="108" w:type="dxa"/>
              <w:bottom w:w="0" w:type="dxa"/>
              <w:right w:w="108" w:type="dxa"/>
            </w:tcMar>
            <w:vAlign w:val="center"/>
          </w:tcPr>
          <w:p w14:paraId="0B9D1E63">
            <w:pPr>
              <w:widowControl w:val="0"/>
              <w:spacing w:after="0" w:line="240" w:lineRule="auto"/>
              <w:jc w:val="left"/>
              <w:rPr>
                <w:rFonts w:ascii="Times New Roman" w:hAnsi="Times New Roman" w:cs="Times New Roman"/>
                <w:sz w:val="24"/>
                <w:szCs w:val="24"/>
                <w:lang w:eastAsia="lt-LT"/>
              </w:rPr>
            </w:pPr>
            <w:r>
              <w:rPr>
                <w:rFonts w:ascii="Times New Roman" w:hAnsi="Times New Roman" w:cs="Times New Roman"/>
                <w:sz w:val="24"/>
                <w:szCs w:val="24"/>
                <w:lang w:eastAsia="lt-LT"/>
              </w:rPr>
              <w:t>iki 500</w:t>
            </w:r>
          </w:p>
        </w:tc>
        <w:tc>
          <w:tcPr>
            <w:tcW w:w="2155" w:type="dxa"/>
            <w:tcMar>
              <w:top w:w="0" w:type="dxa"/>
              <w:left w:w="108" w:type="dxa"/>
              <w:bottom w:w="0" w:type="dxa"/>
              <w:right w:w="108" w:type="dxa"/>
            </w:tcMar>
            <w:vAlign w:val="center"/>
          </w:tcPr>
          <w:p w14:paraId="25A374D6">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2,1159</w:t>
            </w:r>
          </w:p>
        </w:tc>
        <w:tc>
          <w:tcPr>
            <w:tcW w:w="2948" w:type="dxa"/>
            <w:tcMar>
              <w:top w:w="0" w:type="dxa"/>
              <w:left w:w="108" w:type="dxa"/>
              <w:bottom w:w="0" w:type="dxa"/>
              <w:right w:w="108" w:type="dxa"/>
            </w:tcMar>
            <w:vAlign w:val="center"/>
          </w:tcPr>
          <w:p w14:paraId="0AC60A6A">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2,1205</w:t>
            </w:r>
          </w:p>
        </w:tc>
        <w:tc>
          <w:tcPr>
            <w:tcW w:w="2552" w:type="dxa"/>
            <w:tcMar>
              <w:top w:w="0" w:type="dxa"/>
              <w:left w:w="108" w:type="dxa"/>
              <w:bottom w:w="0" w:type="dxa"/>
              <w:right w:w="108" w:type="dxa"/>
            </w:tcMar>
            <w:vAlign w:val="center"/>
          </w:tcPr>
          <w:p w14:paraId="6A8A41B9">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2,1232</w:t>
            </w:r>
          </w:p>
        </w:tc>
      </w:tr>
      <w:tr w14:paraId="4744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trPr>
        <w:tc>
          <w:tcPr>
            <w:tcW w:w="2523" w:type="dxa"/>
            <w:tcMar>
              <w:top w:w="0" w:type="dxa"/>
              <w:left w:w="108" w:type="dxa"/>
              <w:bottom w:w="0" w:type="dxa"/>
              <w:right w:w="108" w:type="dxa"/>
            </w:tcMar>
            <w:vAlign w:val="center"/>
          </w:tcPr>
          <w:p w14:paraId="38755385">
            <w:pPr>
              <w:widowControl w:val="0"/>
              <w:spacing w:after="0" w:line="240" w:lineRule="auto"/>
              <w:jc w:val="left"/>
              <w:rPr>
                <w:rFonts w:ascii="Times New Roman" w:hAnsi="Times New Roman" w:cs="Times New Roman"/>
                <w:sz w:val="24"/>
                <w:szCs w:val="24"/>
                <w:lang w:eastAsia="lt-LT"/>
              </w:rPr>
            </w:pPr>
            <w:r>
              <w:rPr>
                <w:rFonts w:ascii="Times New Roman" w:hAnsi="Times New Roman" w:cs="Times New Roman"/>
                <w:sz w:val="24"/>
                <w:szCs w:val="24"/>
                <w:lang w:eastAsia="lt-LT"/>
              </w:rPr>
              <w:t>501 ir daugiau</w:t>
            </w:r>
          </w:p>
        </w:tc>
        <w:tc>
          <w:tcPr>
            <w:tcW w:w="2155" w:type="dxa"/>
            <w:tcMar>
              <w:top w:w="0" w:type="dxa"/>
              <w:left w:w="108" w:type="dxa"/>
              <w:bottom w:w="0" w:type="dxa"/>
              <w:right w:w="108" w:type="dxa"/>
            </w:tcMar>
            <w:vAlign w:val="center"/>
          </w:tcPr>
          <w:p w14:paraId="0811EDE3">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2,1291</w:t>
            </w:r>
          </w:p>
        </w:tc>
        <w:tc>
          <w:tcPr>
            <w:tcW w:w="2948" w:type="dxa"/>
            <w:tcMar>
              <w:top w:w="0" w:type="dxa"/>
              <w:left w:w="108" w:type="dxa"/>
              <w:bottom w:w="0" w:type="dxa"/>
              <w:right w:w="108" w:type="dxa"/>
            </w:tcMar>
            <w:vAlign w:val="center"/>
          </w:tcPr>
          <w:p w14:paraId="32DFC567">
            <w:pPr>
              <w:widowControl w:val="0"/>
              <w:spacing w:after="0" w:line="240" w:lineRule="auto"/>
              <w:ind w:hanging="122"/>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2,1584</w:t>
            </w:r>
          </w:p>
        </w:tc>
        <w:tc>
          <w:tcPr>
            <w:tcW w:w="2552" w:type="dxa"/>
            <w:tcMar>
              <w:top w:w="0" w:type="dxa"/>
              <w:left w:w="108" w:type="dxa"/>
              <w:bottom w:w="0" w:type="dxa"/>
              <w:right w:w="108" w:type="dxa"/>
            </w:tcMar>
            <w:vAlign w:val="center"/>
          </w:tcPr>
          <w:p w14:paraId="4DA4D323">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2,1893</w:t>
            </w:r>
          </w:p>
        </w:tc>
      </w:tr>
    </w:tbl>
    <w:p w14:paraId="73ED513A">
      <w:pPr>
        <w:pStyle w:val="37"/>
        <w:shd w:val="clear" w:color="auto" w:fill="auto"/>
        <w:tabs>
          <w:tab w:val="left" w:pos="1526"/>
        </w:tabs>
        <w:spacing w:before="0" w:line="240" w:lineRule="auto"/>
        <w:rPr>
          <w:rFonts w:ascii="Times New Roman" w:hAnsi="Times New Roman" w:cs="Times New Roman"/>
          <w:i/>
          <w:iCs/>
          <w:color w:val="000000"/>
          <w:sz w:val="24"/>
          <w:szCs w:val="24"/>
        </w:rPr>
      </w:pPr>
    </w:p>
    <w:p w14:paraId="14C7ECCA">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Gimnazijos mokytojams, švietimo pagalbos, ugdymo karjerai specialistams pareiginės algos koeficientas nustatomas vadovaujantis DAĮ  2 priedu, atsižvelgiant į pedagoginio darbo stažą ir / ar kvalifikacinę kategoriją bei veiklos sudėtingumą, nustatomas fiksuotas</w:t>
      </w:r>
      <w:r>
        <w:rPr>
          <w:rFonts w:ascii="Times New Roman" w:hAnsi="Times New Roman" w:cs="Times New Roman"/>
          <w:color w:val="FF0000"/>
          <w:sz w:val="24"/>
          <w:szCs w:val="24"/>
        </w:rPr>
        <w:t xml:space="preserve"> </w:t>
      </w:r>
      <w:r>
        <w:rPr>
          <w:rFonts w:ascii="Times New Roman" w:hAnsi="Times New Roman" w:cs="Times New Roman"/>
          <w:sz w:val="24"/>
          <w:szCs w:val="24"/>
        </w:rPr>
        <w:t>mėnesinis darbo užmokesčio dydis:</w:t>
      </w:r>
    </w:p>
    <w:p w14:paraId="03E03C42">
      <w:pPr>
        <w:pStyle w:val="37"/>
        <w:numPr>
          <w:ilvl w:val="2"/>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ikimokyklinio ir priešmokyklinio ugdymo mokytojui;</w:t>
      </w:r>
    </w:p>
    <w:p w14:paraId="3A689457">
      <w:pPr>
        <w:pStyle w:val="37"/>
        <w:numPr>
          <w:ilvl w:val="2"/>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pradinio ugdymo mokytojui;</w:t>
      </w:r>
    </w:p>
    <w:p w14:paraId="637AFC58">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lietuvių kalbos ir literatūros mokytojui;</w:t>
      </w:r>
    </w:p>
    <w:p w14:paraId="474F5A90">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gimtosios kalbos (lenkų kalbos ir literatūros) mokytojui;</w:t>
      </w:r>
    </w:p>
    <w:p w14:paraId="0302AFB0">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anglų kalbos mokytojui;</w:t>
      </w:r>
    </w:p>
    <w:p w14:paraId="0E34F9FB">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matematikos mokytojui;</w:t>
      </w:r>
    </w:p>
    <w:p w14:paraId="19D6E5C5">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informatikos mokytojui;</w:t>
      </w:r>
    </w:p>
    <w:p w14:paraId="4F841885">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istorijos mokytojui;</w:t>
      </w:r>
    </w:p>
    <w:p w14:paraId="44876A09">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geografijos mokytojui;</w:t>
      </w:r>
    </w:p>
    <w:p w14:paraId="0D9C46C4">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fizikos mokytojui;</w:t>
      </w:r>
    </w:p>
    <w:p w14:paraId="13C4E2CD">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biologijos mokytojui;</w:t>
      </w:r>
    </w:p>
    <w:p w14:paraId="4F25C476">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chemijos mokytojui;</w:t>
      </w:r>
    </w:p>
    <w:p w14:paraId="055F5666">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gamtos mokslų mokytojui;</w:t>
      </w:r>
    </w:p>
    <w:p w14:paraId="78ED5F3C">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dailės mokytojui;</w:t>
      </w:r>
    </w:p>
    <w:p w14:paraId="165E297D">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muzikos mokytojui;</w:t>
      </w:r>
    </w:p>
    <w:p w14:paraId="6ECB515F">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šokio mokytojui;</w:t>
      </w:r>
    </w:p>
    <w:p w14:paraId="22AAB133">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katalikų tikybos mokytojui;</w:t>
      </w:r>
    </w:p>
    <w:p w14:paraId="499EE2EE">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fizinio ugdymo mokytojui;</w:t>
      </w:r>
    </w:p>
    <w:p w14:paraId="067FF58D">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technologijų mokytojui;</w:t>
      </w:r>
    </w:p>
    <w:p w14:paraId="1DAADA41">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gyvenimo įgūdžių mokytojui;</w:t>
      </w:r>
    </w:p>
    <w:p w14:paraId="145007B6">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ekonomikos ir verslo pagrindų mokytojui;</w:t>
      </w:r>
    </w:p>
    <w:p w14:paraId="766FCC03">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neformaliojo švietimo mokytojui;</w:t>
      </w:r>
    </w:p>
    <w:p w14:paraId="4C612F30">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logopedui;</w:t>
      </w:r>
    </w:p>
    <w:p w14:paraId="1E7776A3">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socialiniam pedagogui;</w:t>
      </w:r>
    </w:p>
    <w:p w14:paraId="7C6B308A">
      <w:pPr>
        <w:pStyle w:val="37"/>
        <w:numPr>
          <w:ilvl w:val="2"/>
          <w:numId w:val="1"/>
        </w:numPr>
        <w:shd w:val="clear" w:color="auto" w:fill="auto"/>
        <w:tabs>
          <w:tab w:val="left" w:pos="1526"/>
        </w:tabs>
        <w:spacing w:before="0" w:line="240" w:lineRule="auto"/>
        <w:ind w:left="1855" w:hanging="1004"/>
        <w:rPr>
          <w:rFonts w:ascii="Times New Roman" w:hAnsi="Times New Roman" w:cs="Times New Roman"/>
          <w:sz w:val="24"/>
          <w:szCs w:val="24"/>
        </w:rPr>
      </w:pPr>
      <w:r>
        <w:rPr>
          <w:rFonts w:ascii="Times New Roman" w:hAnsi="Times New Roman" w:cs="Times New Roman"/>
          <w:sz w:val="24"/>
          <w:szCs w:val="24"/>
        </w:rPr>
        <w:t>psichologo asistentui.</w:t>
      </w:r>
    </w:p>
    <w:p w14:paraId="22A4E3DE">
      <w:pPr>
        <w:pStyle w:val="37"/>
        <w:numPr>
          <w:ilvl w:val="1"/>
          <w:numId w:val="1"/>
        </w:numPr>
        <w:shd w:val="clear" w:color="auto" w:fill="auto"/>
        <w:tabs>
          <w:tab w:val="left" w:pos="1526"/>
        </w:tabs>
        <w:spacing w:before="0" w:line="240" w:lineRule="auto"/>
        <w:ind w:left="1511" w:hanging="660"/>
        <w:rPr>
          <w:rFonts w:ascii="Times New Roman" w:hAnsi="Times New Roman" w:cs="Times New Roman"/>
          <w:sz w:val="24"/>
          <w:szCs w:val="24"/>
        </w:rPr>
      </w:pPr>
      <w:r>
        <w:rPr>
          <w:rFonts w:ascii="Times New Roman" w:hAnsi="Times New Roman" w:cs="Times New Roman"/>
          <w:sz w:val="24"/>
          <w:szCs w:val="24"/>
        </w:rPr>
        <w:t>mokytojams pareiginės algos koeficientai:</w:t>
      </w:r>
    </w:p>
    <w:tbl>
      <w:tblPr>
        <w:tblStyle w:val="12"/>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34"/>
        <w:gridCol w:w="970"/>
        <w:gridCol w:w="1140"/>
        <w:gridCol w:w="1140"/>
        <w:gridCol w:w="1140"/>
        <w:gridCol w:w="1140"/>
        <w:gridCol w:w="1359"/>
        <w:gridCol w:w="1213"/>
      </w:tblGrid>
      <w:tr w14:paraId="68FB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8" w:hRule="atLeast"/>
          <w:tblHeader/>
          <w:jc w:val="center"/>
        </w:trPr>
        <w:tc>
          <w:tcPr>
            <w:tcW w:w="1734" w:type="dxa"/>
            <w:vMerge w:val="restart"/>
            <w:tcMar>
              <w:top w:w="0" w:type="dxa"/>
              <w:left w:w="108" w:type="dxa"/>
              <w:bottom w:w="0" w:type="dxa"/>
              <w:right w:w="108" w:type="dxa"/>
            </w:tcMar>
            <w:vAlign w:val="center"/>
          </w:tcPr>
          <w:p w14:paraId="2DE5C28D">
            <w:pPr>
              <w:widowControl w:val="0"/>
              <w:spacing w:after="0" w:line="240" w:lineRule="auto"/>
              <w:ind w:right="38"/>
              <w:jc w:val="left"/>
              <w:rPr>
                <w:rFonts w:ascii="Times New Roman" w:hAnsi="Times New Roman" w:cs="Times New Roman"/>
                <w:sz w:val="24"/>
                <w:szCs w:val="24"/>
              </w:rPr>
            </w:pPr>
            <w:r>
              <w:rPr>
                <w:rFonts w:ascii="Times New Roman" w:hAnsi="Times New Roman" w:cs="Times New Roman"/>
                <w:bCs/>
                <w:sz w:val="24"/>
                <w:szCs w:val="24"/>
              </w:rPr>
              <w:t xml:space="preserve">Kvalifikacinė kategorija </w:t>
            </w:r>
          </w:p>
        </w:tc>
        <w:tc>
          <w:tcPr>
            <w:tcW w:w="8102" w:type="dxa"/>
            <w:gridSpan w:val="7"/>
            <w:tcMar>
              <w:top w:w="0" w:type="dxa"/>
              <w:left w:w="108" w:type="dxa"/>
              <w:bottom w:w="0" w:type="dxa"/>
              <w:right w:w="108" w:type="dxa"/>
            </w:tcMar>
            <w:vAlign w:val="center"/>
          </w:tcPr>
          <w:p w14:paraId="62657309">
            <w:pPr>
              <w:widowControl w:val="0"/>
              <w:spacing w:after="0" w:line="240" w:lineRule="auto"/>
              <w:ind w:right="38"/>
              <w:jc w:val="center"/>
              <w:rPr>
                <w:rFonts w:ascii="Times New Roman" w:hAnsi="Times New Roman" w:cs="Times New Roman"/>
                <w:bCs/>
                <w:sz w:val="24"/>
                <w:szCs w:val="24"/>
              </w:rPr>
            </w:pPr>
            <w:r>
              <w:rPr>
                <w:rFonts w:ascii="Times New Roman" w:hAnsi="Times New Roman" w:cs="Times New Roman"/>
                <w:bCs/>
                <w:sz w:val="24"/>
                <w:szCs w:val="24"/>
              </w:rPr>
              <w:t>Pareiginės algos koeficientai</w:t>
            </w:r>
          </w:p>
        </w:tc>
      </w:tr>
      <w:tr w14:paraId="3E4B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8" w:hRule="atLeast"/>
          <w:tblHeader/>
          <w:jc w:val="center"/>
        </w:trPr>
        <w:tc>
          <w:tcPr>
            <w:tcW w:w="1734" w:type="dxa"/>
            <w:vMerge w:val="continue"/>
            <w:vAlign w:val="center"/>
          </w:tcPr>
          <w:p w14:paraId="046D1B64">
            <w:pPr>
              <w:widowControl w:val="0"/>
              <w:spacing w:after="0" w:line="240" w:lineRule="auto"/>
              <w:ind w:right="38"/>
              <w:jc w:val="left"/>
              <w:rPr>
                <w:rFonts w:ascii="Times New Roman" w:hAnsi="Times New Roman" w:cs="Times New Roman"/>
                <w:sz w:val="24"/>
                <w:szCs w:val="24"/>
              </w:rPr>
            </w:pPr>
          </w:p>
        </w:tc>
        <w:tc>
          <w:tcPr>
            <w:tcW w:w="8102" w:type="dxa"/>
            <w:gridSpan w:val="7"/>
            <w:tcMar>
              <w:top w:w="0" w:type="dxa"/>
              <w:left w:w="108" w:type="dxa"/>
              <w:bottom w:w="0" w:type="dxa"/>
              <w:right w:w="108" w:type="dxa"/>
            </w:tcMar>
            <w:vAlign w:val="center"/>
          </w:tcPr>
          <w:p w14:paraId="68C08F70">
            <w:pPr>
              <w:widowControl w:val="0"/>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Pedagoginio darbo stažas (metais)</w:t>
            </w:r>
          </w:p>
        </w:tc>
      </w:tr>
      <w:tr w14:paraId="7E884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2" w:hRule="atLeast"/>
          <w:tblHeader/>
          <w:jc w:val="center"/>
        </w:trPr>
        <w:tc>
          <w:tcPr>
            <w:tcW w:w="1734" w:type="dxa"/>
            <w:vMerge w:val="continue"/>
            <w:vAlign w:val="center"/>
          </w:tcPr>
          <w:p w14:paraId="75580657">
            <w:pPr>
              <w:widowControl w:val="0"/>
              <w:spacing w:after="0" w:line="240" w:lineRule="auto"/>
              <w:ind w:right="38"/>
              <w:jc w:val="left"/>
              <w:rPr>
                <w:rFonts w:ascii="Times New Roman" w:hAnsi="Times New Roman" w:cs="Times New Roman"/>
                <w:sz w:val="24"/>
                <w:szCs w:val="24"/>
              </w:rPr>
            </w:pPr>
          </w:p>
        </w:tc>
        <w:tc>
          <w:tcPr>
            <w:tcW w:w="970" w:type="dxa"/>
            <w:tcMar>
              <w:top w:w="0" w:type="dxa"/>
              <w:left w:w="108" w:type="dxa"/>
              <w:bottom w:w="0" w:type="dxa"/>
              <w:right w:w="108" w:type="dxa"/>
            </w:tcMar>
            <w:vAlign w:val="center"/>
          </w:tcPr>
          <w:p w14:paraId="4CF832A3">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bCs/>
                <w:sz w:val="24"/>
                <w:szCs w:val="24"/>
              </w:rPr>
              <w:t>iki 2</w:t>
            </w:r>
          </w:p>
        </w:tc>
        <w:tc>
          <w:tcPr>
            <w:tcW w:w="1140" w:type="dxa"/>
            <w:tcMar>
              <w:top w:w="0" w:type="dxa"/>
              <w:left w:w="108" w:type="dxa"/>
              <w:bottom w:w="0" w:type="dxa"/>
              <w:right w:w="108" w:type="dxa"/>
            </w:tcMar>
            <w:vAlign w:val="center"/>
          </w:tcPr>
          <w:p w14:paraId="68BB7AF1">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bCs/>
                <w:sz w:val="24"/>
                <w:szCs w:val="24"/>
              </w:rPr>
              <w:t>nuo daugiau kaip 2 iki 5</w:t>
            </w:r>
          </w:p>
        </w:tc>
        <w:tc>
          <w:tcPr>
            <w:tcW w:w="1140" w:type="dxa"/>
            <w:tcMar>
              <w:top w:w="0" w:type="dxa"/>
              <w:left w:w="108" w:type="dxa"/>
              <w:bottom w:w="0" w:type="dxa"/>
              <w:right w:w="108" w:type="dxa"/>
            </w:tcMar>
            <w:vAlign w:val="center"/>
          </w:tcPr>
          <w:p w14:paraId="7B6866AF">
            <w:pPr>
              <w:widowControl w:val="0"/>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nuo daugiau kaip 5 iki 10</w:t>
            </w:r>
          </w:p>
        </w:tc>
        <w:tc>
          <w:tcPr>
            <w:tcW w:w="1140" w:type="dxa"/>
            <w:tcMar>
              <w:top w:w="0" w:type="dxa"/>
              <w:left w:w="108" w:type="dxa"/>
              <w:bottom w:w="0" w:type="dxa"/>
              <w:right w:w="108" w:type="dxa"/>
            </w:tcMar>
            <w:vAlign w:val="center"/>
          </w:tcPr>
          <w:p w14:paraId="6F38406E">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bCs/>
                <w:sz w:val="24"/>
                <w:szCs w:val="24"/>
              </w:rPr>
              <w:t>nuo daugiau kaip 10 iki 15</w:t>
            </w:r>
          </w:p>
        </w:tc>
        <w:tc>
          <w:tcPr>
            <w:tcW w:w="1140" w:type="dxa"/>
            <w:tcMar>
              <w:top w:w="0" w:type="dxa"/>
              <w:left w:w="108" w:type="dxa"/>
              <w:bottom w:w="0" w:type="dxa"/>
              <w:right w:w="108" w:type="dxa"/>
            </w:tcMar>
            <w:vAlign w:val="center"/>
          </w:tcPr>
          <w:p w14:paraId="5C0CBBB6">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bCs/>
                <w:sz w:val="24"/>
                <w:szCs w:val="24"/>
              </w:rPr>
              <w:t>nuo daugiau kaip 15 iki 20</w:t>
            </w:r>
          </w:p>
        </w:tc>
        <w:tc>
          <w:tcPr>
            <w:tcW w:w="1359" w:type="dxa"/>
            <w:tcMar>
              <w:top w:w="0" w:type="dxa"/>
              <w:left w:w="108" w:type="dxa"/>
              <w:bottom w:w="0" w:type="dxa"/>
              <w:right w:w="108" w:type="dxa"/>
            </w:tcMar>
            <w:vAlign w:val="center"/>
          </w:tcPr>
          <w:p w14:paraId="6F8A29C7">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bCs/>
                <w:sz w:val="24"/>
                <w:szCs w:val="24"/>
              </w:rPr>
              <w:t>nuo daugiau kaip 20 iki 25</w:t>
            </w:r>
          </w:p>
        </w:tc>
        <w:tc>
          <w:tcPr>
            <w:tcW w:w="1213" w:type="dxa"/>
            <w:tcMar>
              <w:top w:w="0" w:type="dxa"/>
              <w:left w:w="108" w:type="dxa"/>
              <w:bottom w:w="0" w:type="dxa"/>
              <w:right w:w="108" w:type="dxa"/>
            </w:tcMar>
            <w:vAlign w:val="center"/>
          </w:tcPr>
          <w:p w14:paraId="2271B061">
            <w:pPr>
              <w:widowControl w:val="0"/>
              <w:spacing w:after="0" w:line="240" w:lineRule="auto"/>
              <w:ind w:right="38" w:hanging="104"/>
              <w:jc w:val="center"/>
              <w:rPr>
                <w:rFonts w:ascii="Times New Roman" w:hAnsi="Times New Roman" w:cs="Times New Roman"/>
                <w:sz w:val="24"/>
                <w:szCs w:val="24"/>
              </w:rPr>
            </w:pPr>
            <w:r>
              <w:rPr>
                <w:rFonts w:ascii="Times New Roman" w:hAnsi="Times New Roman" w:cs="Times New Roman"/>
                <w:bCs/>
                <w:sz w:val="24"/>
                <w:szCs w:val="24"/>
              </w:rPr>
              <w:t>daugiau kaip 25</w:t>
            </w:r>
          </w:p>
        </w:tc>
      </w:tr>
      <w:tr w14:paraId="521C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9836" w:type="dxa"/>
            <w:gridSpan w:val="8"/>
            <w:tcMar>
              <w:top w:w="0" w:type="dxa"/>
              <w:left w:w="108" w:type="dxa"/>
              <w:bottom w:w="0" w:type="dxa"/>
              <w:right w:w="108" w:type="dxa"/>
            </w:tcMar>
            <w:vAlign w:val="center"/>
          </w:tcPr>
          <w:p w14:paraId="4C3616FA">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bCs/>
                <w:sz w:val="24"/>
                <w:szCs w:val="24"/>
              </w:rPr>
              <w:t>Nesuteiktos kvalifikacinės kategorijos</w:t>
            </w:r>
          </w:p>
        </w:tc>
      </w:tr>
      <w:tr w14:paraId="560F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 w:hRule="atLeast"/>
          <w:jc w:val="center"/>
        </w:trPr>
        <w:tc>
          <w:tcPr>
            <w:tcW w:w="1734" w:type="dxa"/>
            <w:tcMar>
              <w:top w:w="0" w:type="dxa"/>
              <w:left w:w="108" w:type="dxa"/>
              <w:bottom w:w="0" w:type="dxa"/>
              <w:right w:w="108" w:type="dxa"/>
            </w:tcMar>
            <w:vAlign w:val="center"/>
          </w:tcPr>
          <w:p w14:paraId="21B50A12">
            <w:pPr>
              <w:widowControl w:val="0"/>
              <w:spacing w:after="0" w:line="240" w:lineRule="auto"/>
              <w:ind w:right="38"/>
              <w:jc w:val="left"/>
              <w:rPr>
                <w:rFonts w:ascii="Times New Roman" w:hAnsi="Times New Roman" w:cs="Times New Roman"/>
                <w:sz w:val="24"/>
                <w:szCs w:val="24"/>
              </w:rPr>
            </w:pPr>
            <w:r>
              <w:rPr>
                <w:rFonts w:ascii="Times New Roman" w:hAnsi="Times New Roman" w:cs="Times New Roman"/>
                <w:bCs/>
                <w:sz w:val="24"/>
                <w:szCs w:val="24"/>
              </w:rPr>
              <w:t>Mokytojas</w:t>
            </w:r>
          </w:p>
        </w:tc>
        <w:tc>
          <w:tcPr>
            <w:tcW w:w="970" w:type="dxa"/>
            <w:tcMar>
              <w:top w:w="0" w:type="dxa"/>
              <w:left w:w="108" w:type="dxa"/>
              <w:bottom w:w="0" w:type="dxa"/>
              <w:right w:w="108" w:type="dxa"/>
            </w:tcMar>
          </w:tcPr>
          <w:p w14:paraId="39501940">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1,1041</w:t>
            </w:r>
          </w:p>
        </w:tc>
        <w:tc>
          <w:tcPr>
            <w:tcW w:w="1140" w:type="dxa"/>
            <w:tcMar>
              <w:top w:w="0" w:type="dxa"/>
              <w:left w:w="108" w:type="dxa"/>
              <w:bottom w:w="0" w:type="dxa"/>
              <w:right w:w="108" w:type="dxa"/>
            </w:tcMar>
          </w:tcPr>
          <w:p w14:paraId="50E57561">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1,1082</w:t>
            </w:r>
          </w:p>
        </w:tc>
        <w:tc>
          <w:tcPr>
            <w:tcW w:w="1140" w:type="dxa"/>
            <w:tcMar>
              <w:top w:w="0" w:type="dxa"/>
              <w:left w:w="108" w:type="dxa"/>
              <w:bottom w:w="0" w:type="dxa"/>
              <w:right w:w="108" w:type="dxa"/>
            </w:tcMar>
          </w:tcPr>
          <w:p w14:paraId="0DD4EEDF">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1,1177</w:t>
            </w:r>
          </w:p>
        </w:tc>
        <w:tc>
          <w:tcPr>
            <w:tcW w:w="1140" w:type="dxa"/>
            <w:tcMar>
              <w:top w:w="0" w:type="dxa"/>
              <w:left w:w="108" w:type="dxa"/>
              <w:bottom w:w="0" w:type="dxa"/>
              <w:right w:w="108" w:type="dxa"/>
            </w:tcMar>
          </w:tcPr>
          <w:p w14:paraId="3CDC9251">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1,1381</w:t>
            </w:r>
          </w:p>
        </w:tc>
        <w:tc>
          <w:tcPr>
            <w:tcW w:w="1140" w:type="dxa"/>
            <w:tcMar>
              <w:top w:w="0" w:type="dxa"/>
              <w:left w:w="108" w:type="dxa"/>
              <w:bottom w:w="0" w:type="dxa"/>
              <w:right w:w="108" w:type="dxa"/>
            </w:tcMar>
          </w:tcPr>
          <w:p w14:paraId="74E5F4D4">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1,1735</w:t>
            </w:r>
          </w:p>
        </w:tc>
        <w:tc>
          <w:tcPr>
            <w:tcW w:w="1359" w:type="dxa"/>
            <w:tcMar>
              <w:top w:w="0" w:type="dxa"/>
              <w:left w:w="108" w:type="dxa"/>
              <w:bottom w:w="0" w:type="dxa"/>
              <w:right w:w="108" w:type="dxa"/>
            </w:tcMar>
          </w:tcPr>
          <w:p w14:paraId="34EE6D31">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1,1775</w:t>
            </w:r>
          </w:p>
        </w:tc>
        <w:tc>
          <w:tcPr>
            <w:tcW w:w="1213" w:type="dxa"/>
            <w:tcMar>
              <w:top w:w="0" w:type="dxa"/>
              <w:left w:w="108" w:type="dxa"/>
              <w:bottom w:w="0" w:type="dxa"/>
              <w:right w:w="108" w:type="dxa"/>
            </w:tcMar>
          </w:tcPr>
          <w:p w14:paraId="39DFB429">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1,1844</w:t>
            </w:r>
          </w:p>
        </w:tc>
      </w:tr>
      <w:tr w14:paraId="259A5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jc w:val="center"/>
        </w:trPr>
        <w:tc>
          <w:tcPr>
            <w:tcW w:w="9836" w:type="dxa"/>
            <w:gridSpan w:val="8"/>
            <w:tcMar>
              <w:top w:w="0" w:type="dxa"/>
              <w:left w:w="108" w:type="dxa"/>
              <w:bottom w:w="0" w:type="dxa"/>
              <w:right w:w="108" w:type="dxa"/>
            </w:tcMar>
            <w:vAlign w:val="center"/>
          </w:tcPr>
          <w:p w14:paraId="28FDA471">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Suteiktos kvalifikacinės kategorijos</w:t>
            </w:r>
          </w:p>
        </w:tc>
      </w:tr>
      <w:tr w14:paraId="7347E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734" w:type="dxa"/>
            <w:tcMar>
              <w:top w:w="0" w:type="dxa"/>
              <w:left w:w="108" w:type="dxa"/>
              <w:bottom w:w="0" w:type="dxa"/>
              <w:right w:w="108" w:type="dxa"/>
            </w:tcMar>
            <w:vAlign w:val="center"/>
          </w:tcPr>
          <w:p w14:paraId="2C9457E4">
            <w:pPr>
              <w:widowControl w:val="0"/>
              <w:spacing w:after="0" w:line="240" w:lineRule="auto"/>
              <w:ind w:right="38"/>
              <w:jc w:val="left"/>
              <w:rPr>
                <w:rFonts w:ascii="Times New Roman" w:hAnsi="Times New Roman" w:cs="Times New Roman"/>
                <w:sz w:val="24"/>
                <w:szCs w:val="24"/>
              </w:rPr>
            </w:pPr>
            <w:r>
              <w:rPr>
                <w:rFonts w:ascii="Times New Roman" w:hAnsi="Times New Roman" w:cs="Times New Roman"/>
                <w:bCs/>
                <w:sz w:val="24"/>
                <w:szCs w:val="24"/>
              </w:rPr>
              <w:t>Mokytojas</w:t>
            </w:r>
          </w:p>
        </w:tc>
        <w:tc>
          <w:tcPr>
            <w:tcW w:w="970" w:type="dxa"/>
            <w:tcMar>
              <w:top w:w="0" w:type="dxa"/>
              <w:left w:w="108" w:type="dxa"/>
              <w:bottom w:w="0" w:type="dxa"/>
              <w:right w:w="108" w:type="dxa"/>
            </w:tcMar>
          </w:tcPr>
          <w:p w14:paraId="51FC96E6">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1,1857</w:t>
            </w:r>
          </w:p>
        </w:tc>
        <w:tc>
          <w:tcPr>
            <w:tcW w:w="1140" w:type="dxa"/>
            <w:tcMar>
              <w:top w:w="0" w:type="dxa"/>
              <w:left w:w="108" w:type="dxa"/>
              <w:bottom w:w="0" w:type="dxa"/>
              <w:right w:w="108" w:type="dxa"/>
            </w:tcMar>
          </w:tcPr>
          <w:p w14:paraId="6235E3EC">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1,1886</w:t>
            </w:r>
          </w:p>
        </w:tc>
        <w:tc>
          <w:tcPr>
            <w:tcW w:w="1140" w:type="dxa"/>
            <w:tcMar>
              <w:top w:w="0" w:type="dxa"/>
              <w:left w:w="108" w:type="dxa"/>
              <w:bottom w:w="0" w:type="dxa"/>
              <w:right w:w="108" w:type="dxa"/>
            </w:tcMar>
          </w:tcPr>
          <w:p w14:paraId="4875C3EE">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1,1899</w:t>
            </w:r>
          </w:p>
        </w:tc>
        <w:tc>
          <w:tcPr>
            <w:tcW w:w="1140" w:type="dxa"/>
            <w:tcMar>
              <w:top w:w="0" w:type="dxa"/>
              <w:left w:w="108" w:type="dxa"/>
              <w:bottom w:w="0" w:type="dxa"/>
              <w:right w:w="108" w:type="dxa"/>
            </w:tcMar>
          </w:tcPr>
          <w:p w14:paraId="68EA4A37">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1,1966</w:t>
            </w:r>
          </w:p>
        </w:tc>
        <w:tc>
          <w:tcPr>
            <w:tcW w:w="1140" w:type="dxa"/>
            <w:tcMar>
              <w:top w:w="0" w:type="dxa"/>
              <w:left w:w="108" w:type="dxa"/>
              <w:bottom w:w="0" w:type="dxa"/>
              <w:right w:w="108" w:type="dxa"/>
            </w:tcMar>
          </w:tcPr>
          <w:p w14:paraId="7F2E0821">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1,1994</w:t>
            </w:r>
          </w:p>
        </w:tc>
        <w:tc>
          <w:tcPr>
            <w:tcW w:w="1359" w:type="dxa"/>
            <w:tcMar>
              <w:top w:w="0" w:type="dxa"/>
              <w:left w:w="108" w:type="dxa"/>
              <w:bottom w:w="0" w:type="dxa"/>
              <w:right w:w="108" w:type="dxa"/>
            </w:tcMar>
          </w:tcPr>
          <w:p w14:paraId="23FAC643">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1,2034</w:t>
            </w:r>
          </w:p>
        </w:tc>
        <w:tc>
          <w:tcPr>
            <w:tcW w:w="1213" w:type="dxa"/>
            <w:tcMar>
              <w:top w:w="0" w:type="dxa"/>
              <w:left w:w="108" w:type="dxa"/>
              <w:bottom w:w="0" w:type="dxa"/>
              <w:right w:w="108" w:type="dxa"/>
            </w:tcMar>
          </w:tcPr>
          <w:p w14:paraId="6694BDF2">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1,2129</w:t>
            </w:r>
          </w:p>
        </w:tc>
      </w:tr>
      <w:tr w14:paraId="5A07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2" w:hRule="atLeast"/>
          <w:jc w:val="center"/>
        </w:trPr>
        <w:tc>
          <w:tcPr>
            <w:tcW w:w="1734" w:type="dxa"/>
            <w:tcMar>
              <w:top w:w="0" w:type="dxa"/>
              <w:left w:w="108" w:type="dxa"/>
              <w:bottom w:w="0" w:type="dxa"/>
              <w:right w:w="108" w:type="dxa"/>
            </w:tcMar>
            <w:vAlign w:val="center"/>
          </w:tcPr>
          <w:p w14:paraId="27E7DA84">
            <w:pPr>
              <w:widowControl w:val="0"/>
              <w:spacing w:after="0" w:line="240" w:lineRule="auto"/>
              <w:ind w:right="38"/>
              <w:jc w:val="left"/>
              <w:rPr>
                <w:rFonts w:ascii="Times New Roman" w:hAnsi="Times New Roman" w:cs="Times New Roman"/>
                <w:sz w:val="24"/>
                <w:szCs w:val="24"/>
              </w:rPr>
            </w:pPr>
            <w:r>
              <w:rPr>
                <w:rFonts w:ascii="Times New Roman" w:hAnsi="Times New Roman" w:cs="Times New Roman"/>
                <w:bCs/>
                <w:sz w:val="24"/>
                <w:szCs w:val="24"/>
              </w:rPr>
              <w:t>Vyresnysis mokytojas</w:t>
            </w:r>
          </w:p>
        </w:tc>
        <w:tc>
          <w:tcPr>
            <w:tcW w:w="970" w:type="dxa"/>
            <w:tcMar>
              <w:top w:w="0" w:type="dxa"/>
              <w:left w:w="108" w:type="dxa"/>
              <w:bottom w:w="0" w:type="dxa"/>
              <w:right w:w="108" w:type="dxa"/>
            </w:tcMar>
          </w:tcPr>
          <w:p w14:paraId="04B6AFD5">
            <w:pPr>
              <w:widowControl w:val="0"/>
              <w:spacing w:after="0" w:line="240" w:lineRule="auto"/>
              <w:ind w:right="38" w:firstLine="62"/>
              <w:jc w:val="center"/>
              <w:rPr>
                <w:rFonts w:ascii="Times New Roman" w:hAnsi="Times New Roman" w:cs="Times New Roman"/>
                <w:sz w:val="24"/>
                <w:szCs w:val="24"/>
              </w:rPr>
            </w:pPr>
          </w:p>
        </w:tc>
        <w:tc>
          <w:tcPr>
            <w:tcW w:w="1140" w:type="dxa"/>
            <w:tcMar>
              <w:top w:w="0" w:type="dxa"/>
              <w:left w:w="108" w:type="dxa"/>
              <w:bottom w:w="0" w:type="dxa"/>
              <w:right w:w="108" w:type="dxa"/>
            </w:tcMar>
          </w:tcPr>
          <w:p w14:paraId="6F84227E">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1,2144</w:t>
            </w:r>
          </w:p>
        </w:tc>
        <w:tc>
          <w:tcPr>
            <w:tcW w:w="1140" w:type="dxa"/>
            <w:tcMar>
              <w:top w:w="0" w:type="dxa"/>
              <w:left w:w="108" w:type="dxa"/>
              <w:bottom w:w="0" w:type="dxa"/>
              <w:right w:w="108" w:type="dxa"/>
            </w:tcMar>
          </w:tcPr>
          <w:p w14:paraId="3B2C2ABE">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1,2185</w:t>
            </w:r>
          </w:p>
        </w:tc>
        <w:tc>
          <w:tcPr>
            <w:tcW w:w="1140" w:type="dxa"/>
            <w:tcMar>
              <w:top w:w="0" w:type="dxa"/>
              <w:left w:w="108" w:type="dxa"/>
              <w:bottom w:w="0" w:type="dxa"/>
              <w:right w:w="108" w:type="dxa"/>
            </w:tcMar>
          </w:tcPr>
          <w:p w14:paraId="28709550">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1,2240</w:t>
            </w:r>
          </w:p>
        </w:tc>
        <w:tc>
          <w:tcPr>
            <w:tcW w:w="1140" w:type="dxa"/>
            <w:tcMar>
              <w:top w:w="0" w:type="dxa"/>
              <w:left w:w="108" w:type="dxa"/>
              <w:bottom w:w="0" w:type="dxa"/>
              <w:right w:w="108" w:type="dxa"/>
            </w:tcMar>
          </w:tcPr>
          <w:p w14:paraId="021CF32F">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1,2730</w:t>
            </w:r>
          </w:p>
        </w:tc>
        <w:tc>
          <w:tcPr>
            <w:tcW w:w="1359" w:type="dxa"/>
            <w:tcMar>
              <w:top w:w="0" w:type="dxa"/>
              <w:left w:w="108" w:type="dxa"/>
              <w:bottom w:w="0" w:type="dxa"/>
              <w:right w:w="108" w:type="dxa"/>
            </w:tcMar>
          </w:tcPr>
          <w:p w14:paraId="2BAA12BD">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1,2797</w:t>
            </w:r>
          </w:p>
        </w:tc>
        <w:tc>
          <w:tcPr>
            <w:tcW w:w="1213" w:type="dxa"/>
            <w:tcMar>
              <w:top w:w="0" w:type="dxa"/>
              <w:left w:w="108" w:type="dxa"/>
              <w:bottom w:w="0" w:type="dxa"/>
              <w:right w:w="108" w:type="dxa"/>
            </w:tcMar>
          </w:tcPr>
          <w:p w14:paraId="369DAD23">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1,2851</w:t>
            </w:r>
          </w:p>
        </w:tc>
      </w:tr>
      <w:tr w14:paraId="337D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9" w:hRule="atLeast"/>
          <w:jc w:val="center"/>
        </w:trPr>
        <w:tc>
          <w:tcPr>
            <w:tcW w:w="1734" w:type="dxa"/>
            <w:tcMar>
              <w:top w:w="0" w:type="dxa"/>
              <w:left w:w="108" w:type="dxa"/>
              <w:bottom w:w="0" w:type="dxa"/>
              <w:right w:w="108" w:type="dxa"/>
            </w:tcMar>
            <w:vAlign w:val="center"/>
          </w:tcPr>
          <w:p w14:paraId="7BF61B56">
            <w:pPr>
              <w:widowControl w:val="0"/>
              <w:spacing w:after="0" w:line="240" w:lineRule="auto"/>
              <w:ind w:right="38"/>
              <w:jc w:val="left"/>
              <w:rPr>
                <w:rFonts w:ascii="Times New Roman" w:hAnsi="Times New Roman" w:cs="Times New Roman"/>
                <w:sz w:val="24"/>
                <w:szCs w:val="24"/>
              </w:rPr>
            </w:pPr>
            <w:r>
              <w:rPr>
                <w:rFonts w:ascii="Times New Roman" w:hAnsi="Times New Roman" w:cs="Times New Roman"/>
                <w:bCs/>
                <w:sz w:val="24"/>
                <w:szCs w:val="24"/>
              </w:rPr>
              <w:t>Mokytojas metodininkas</w:t>
            </w:r>
          </w:p>
        </w:tc>
        <w:tc>
          <w:tcPr>
            <w:tcW w:w="970" w:type="dxa"/>
            <w:tcMar>
              <w:top w:w="0" w:type="dxa"/>
              <w:left w:w="108" w:type="dxa"/>
              <w:bottom w:w="0" w:type="dxa"/>
              <w:right w:w="108" w:type="dxa"/>
            </w:tcMar>
          </w:tcPr>
          <w:p w14:paraId="2B839F31">
            <w:pPr>
              <w:widowControl w:val="0"/>
              <w:spacing w:after="0" w:line="240" w:lineRule="auto"/>
              <w:ind w:right="38" w:firstLine="62"/>
              <w:jc w:val="left"/>
              <w:rPr>
                <w:rFonts w:ascii="Times New Roman" w:hAnsi="Times New Roman" w:cs="Times New Roman"/>
                <w:sz w:val="24"/>
                <w:szCs w:val="24"/>
              </w:rPr>
            </w:pPr>
          </w:p>
        </w:tc>
        <w:tc>
          <w:tcPr>
            <w:tcW w:w="1140" w:type="dxa"/>
            <w:tcMar>
              <w:top w:w="0" w:type="dxa"/>
              <w:left w:w="108" w:type="dxa"/>
              <w:bottom w:w="0" w:type="dxa"/>
              <w:right w:w="108" w:type="dxa"/>
            </w:tcMar>
          </w:tcPr>
          <w:p w14:paraId="737ED278">
            <w:pPr>
              <w:widowControl w:val="0"/>
              <w:spacing w:after="0" w:line="240" w:lineRule="auto"/>
              <w:ind w:right="38" w:firstLine="62"/>
              <w:jc w:val="left"/>
              <w:rPr>
                <w:rFonts w:ascii="Times New Roman" w:hAnsi="Times New Roman" w:cs="Times New Roman"/>
                <w:sz w:val="24"/>
                <w:szCs w:val="24"/>
              </w:rPr>
            </w:pPr>
          </w:p>
        </w:tc>
        <w:tc>
          <w:tcPr>
            <w:tcW w:w="1140" w:type="dxa"/>
            <w:tcMar>
              <w:top w:w="0" w:type="dxa"/>
              <w:left w:w="108" w:type="dxa"/>
              <w:bottom w:w="0" w:type="dxa"/>
              <w:right w:w="108" w:type="dxa"/>
            </w:tcMar>
          </w:tcPr>
          <w:p w14:paraId="635D4439">
            <w:pPr>
              <w:widowControl w:val="0"/>
              <w:spacing w:after="0" w:line="240" w:lineRule="auto"/>
              <w:ind w:right="38"/>
              <w:jc w:val="left"/>
              <w:rPr>
                <w:rFonts w:ascii="Times New Roman" w:hAnsi="Times New Roman" w:cs="Times New Roman"/>
                <w:sz w:val="24"/>
                <w:szCs w:val="24"/>
              </w:rPr>
            </w:pPr>
            <w:r>
              <w:rPr>
                <w:rFonts w:ascii="Times New Roman" w:hAnsi="Times New Roman" w:cs="Times New Roman"/>
                <w:sz w:val="24"/>
                <w:szCs w:val="24"/>
              </w:rPr>
              <w:t>1,2974</w:t>
            </w:r>
          </w:p>
        </w:tc>
        <w:tc>
          <w:tcPr>
            <w:tcW w:w="1140" w:type="dxa"/>
            <w:tcMar>
              <w:top w:w="0" w:type="dxa"/>
              <w:left w:w="108" w:type="dxa"/>
              <w:bottom w:w="0" w:type="dxa"/>
              <w:right w:w="108" w:type="dxa"/>
            </w:tcMar>
          </w:tcPr>
          <w:p w14:paraId="0C0F17A7">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1,3206</w:t>
            </w:r>
          </w:p>
        </w:tc>
        <w:tc>
          <w:tcPr>
            <w:tcW w:w="1140" w:type="dxa"/>
            <w:tcMar>
              <w:top w:w="0" w:type="dxa"/>
              <w:left w:w="108" w:type="dxa"/>
              <w:bottom w:w="0" w:type="dxa"/>
              <w:right w:w="108" w:type="dxa"/>
            </w:tcMar>
          </w:tcPr>
          <w:p w14:paraId="3A0B0615">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1,3627</w:t>
            </w:r>
          </w:p>
        </w:tc>
        <w:tc>
          <w:tcPr>
            <w:tcW w:w="1359" w:type="dxa"/>
            <w:tcMar>
              <w:top w:w="0" w:type="dxa"/>
              <w:left w:w="108" w:type="dxa"/>
              <w:bottom w:w="0" w:type="dxa"/>
              <w:right w:w="108" w:type="dxa"/>
            </w:tcMar>
          </w:tcPr>
          <w:p w14:paraId="53F5381B">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1,3683</w:t>
            </w:r>
          </w:p>
        </w:tc>
        <w:tc>
          <w:tcPr>
            <w:tcW w:w="1213" w:type="dxa"/>
            <w:tcMar>
              <w:top w:w="0" w:type="dxa"/>
              <w:left w:w="108" w:type="dxa"/>
              <w:bottom w:w="0" w:type="dxa"/>
              <w:right w:w="108" w:type="dxa"/>
            </w:tcMar>
          </w:tcPr>
          <w:p w14:paraId="017653E8">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1,3778</w:t>
            </w:r>
          </w:p>
        </w:tc>
      </w:tr>
      <w:tr w14:paraId="6C4E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2" w:hRule="atLeast"/>
          <w:jc w:val="center"/>
        </w:trPr>
        <w:tc>
          <w:tcPr>
            <w:tcW w:w="1734" w:type="dxa"/>
            <w:tcMar>
              <w:top w:w="0" w:type="dxa"/>
              <w:left w:w="108" w:type="dxa"/>
              <w:bottom w:w="0" w:type="dxa"/>
              <w:right w:w="108" w:type="dxa"/>
            </w:tcMar>
            <w:vAlign w:val="center"/>
          </w:tcPr>
          <w:p w14:paraId="73B95BBC">
            <w:pPr>
              <w:widowControl w:val="0"/>
              <w:spacing w:after="0" w:line="240" w:lineRule="auto"/>
              <w:ind w:right="38"/>
              <w:jc w:val="left"/>
              <w:rPr>
                <w:rFonts w:ascii="Times New Roman" w:hAnsi="Times New Roman" w:cs="Times New Roman"/>
                <w:sz w:val="24"/>
                <w:szCs w:val="24"/>
              </w:rPr>
            </w:pPr>
            <w:r>
              <w:rPr>
                <w:rFonts w:ascii="Times New Roman" w:hAnsi="Times New Roman" w:cs="Times New Roman"/>
                <w:bCs/>
                <w:sz w:val="24"/>
                <w:szCs w:val="24"/>
              </w:rPr>
              <w:t>Mokytojas ekspertas</w:t>
            </w:r>
          </w:p>
        </w:tc>
        <w:tc>
          <w:tcPr>
            <w:tcW w:w="970" w:type="dxa"/>
            <w:tcMar>
              <w:top w:w="0" w:type="dxa"/>
              <w:left w:w="108" w:type="dxa"/>
              <w:bottom w:w="0" w:type="dxa"/>
              <w:right w:w="108" w:type="dxa"/>
            </w:tcMar>
          </w:tcPr>
          <w:p w14:paraId="29013791">
            <w:pPr>
              <w:widowControl w:val="0"/>
              <w:spacing w:after="0" w:line="240" w:lineRule="auto"/>
              <w:ind w:right="38" w:firstLine="62"/>
              <w:jc w:val="left"/>
              <w:rPr>
                <w:rFonts w:ascii="Times New Roman" w:hAnsi="Times New Roman" w:cs="Times New Roman"/>
                <w:sz w:val="24"/>
                <w:szCs w:val="24"/>
              </w:rPr>
            </w:pPr>
          </w:p>
        </w:tc>
        <w:tc>
          <w:tcPr>
            <w:tcW w:w="1140" w:type="dxa"/>
            <w:tcMar>
              <w:top w:w="0" w:type="dxa"/>
              <w:left w:w="108" w:type="dxa"/>
              <w:bottom w:w="0" w:type="dxa"/>
              <w:right w:w="108" w:type="dxa"/>
            </w:tcMar>
          </w:tcPr>
          <w:p w14:paraId="2EBD8613">
            <w:pPr>
              <w:widowControl w:val="0"/>
              <w:spacing w:after="0" w:line="240" w:lineRule="auto"/>
              <w:ind w:right="38" w:firstLine="62"/>
              <w:jc w:val="left"/>
              <w:rPr>
                <w:rFonts w:ascii="Times New Roman" w:hAnsi="Times New Roman" w:cs="Times New Roman"/>
                <w:sz w:val="24"/>
                <w:szCs w:val="24"/>
              </w:rPr>
            </w:pPr>
          </w:p>
        </w:tc>
        <w:tc>
          <w:tcPr>
            <w:tcW w:w="1140" w:type="dxa"/>
            <w:tcMar>
              <w:top w:w="0" w:type="dxa"/>
              <w:left w:w="108" w:type="dxa"/>
              <w:bottom w:w="0" w:type="dxa"/>
              <w:right w:w="108" w:type="dxa"/>
            </w:tcMar>
          </w:tcPr>
          <w:p w14:paraId="37CD5CEC">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1,4744</w:t>
            </w:r>
          </w:p>
        </w:tc>
        <w:tc>
          <w:tcPr>
            <w:tcW w:w="1140" w:type="dxa"/>
            <w:tcMar>
              <w:top w:w="0" w:type="dxa"/>
              <w:left w:w="108" w:type="dxa"/>
              <w:bottom w:w="0" w:type="dxa"/>
              <w:right w:w="108" w:type="dxa"/>
            </w:tcMar>
          </w:tcPr>
          <w:p w14:paraId="5C72914A">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1,4989</w:t>
            </w:r>
          </w:p>
        </w:tc>
        <w:tc>
          <w:tcPr>
            <w:tcW w:w="1140" w:type="dxa"/>
            <w:tcMar>
              <w:top w:w="0" w:type="dxa"/>
              <w:left w:w="108" w:type="dxa"/>
              <w:bottom w:w="0" w:type="dxa"/>
              <w:right w:w="108" w:type="dxa"/>
            </w:tcMar>
          </w:tcPr>
          <w:p w14:paraId="323CAFA2">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1,5371</w:t>
            </w:r>
          </w:p>
        </w:tc>
        <w:tc>
          <w:tcPr>
            <w:tcW w:w="1359" w:type="dxa"/>
            <w:tcMar>
              <w:top w:w="0" w:type="dxa"/>
              <w:left w:w="108" w:type="dxa"/>
              <w:bottom w:w="0" w:type="dxa"/>
              <w:right w:w="108" w:type="dxa"/>
            </w:tcMar>
          </w:tcPr>
          <w:p w14:paraId="5D2A94F8">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1,5439</w:t>
            </w:r>
          </w:p>
        </w:tc>
        <w:tc>
          <w:tcPr>
            <w:tcW w:w="1213" w:type="dxa"/>
            <w:tcMar>
              <w:top w:w="0" w:type="dxa"/>
              <w:left w:w="108" w:type="dxa"/>
              <w:bottom w:w="0" w:type="dxa"/>
              <w:right w:w="108" w:type="dxa"/>
            </w:tcMar>
          </w:tcPr>
          <w:p w14:paraId="45A1D3FF">
            <w:pPr>
              <w:widowControl w:val="0"/>
              <w:spacing w:after="0" w:line="240" w:lineRule="auto"/>
              <w:ind w:right="38"/>
              <w:jc w:val="center"/>
              <w:rPr>
                <w:rFonts w:ascii="Times New Roman" w:hAnsi="Times New Roman" w:cs="Times New Roman"/>
                <w:sz w:val="24"/>
                <w:szCs w:val="24"/>
              </w:rPr>
            </w:pPr>
            <w:r>
              <w:rPr>
                <w:rFonts w:ascii="Times New Roman" w:hAnsi="Times New Roman" w:cs="Times New Roman"/>
                <w:sz w:val="24"/>
                <w:szCs w:val="24"/>
              </w:rPr>
              <w:t>1,5507</w:t>
            </w:r>
          </w:p>
        </w:tc>
      </w:tr>
    </w:tbl>
    <w:p w14:paraId="044BBEDF">
      <w:pPr>
        <w:pStyle w:val="37"/>
        <w:shd w:val="clear" w:color="auto" w:fill="auto"/>
        <w:tabs>
          <w:tab w:val="left" w:pos="1526"/>
        </w:tabs>
        <w:spacing w:before="0" w:line="240" w:lineRule="auto"/>
        <w:rPr>
          <w:rFonts w:ascii="Times New Roman" w:hAnsi="Times New Roman" w:cs="Times New Roman"/>
          <w:sz w:val="24"/>
          <w:szCs w:val="24"/>
        </w:rPr>
      </w:pPr>
    </w:p>
    <w:p w14:paraId="650E923F">
      <w:pPr>
        <w:pStyle w:val="37"/>
        <w:numPr>
          <w:ilvl w:val="1"/>
          <w:numId w:val="1"/>
        </w:numPr>
        <w:shd w:val="clear" w:color="auto" w:fill="auto"/>
        <w:tabs>
          <w:tab w:val="left" w:pos="851"/>
        </w:tabs>
        <w:spacing w:before="0" w:line="240" w:lineRule="auto"/>
        <w:rPr>
          <w:rFonts w:ascii="Times New Roman" w:hAnsi="Times New Roman" w:cs="Times New Roman"/>
          <w:sz w:val="24"/>
          <w:szCs w:val="24"/>
        </w:rPr>
      </w:pPr>
      <w:r>
        <w:rPr>
          <w:rFonts w:ascii="Times New Roman" w:hAnsi="Times New Roman" w:cs="Times New Roman"/>
          <w:sz w:val="24"/>
          <w:szCs w:val="24"/>
        </w:rPr>
        <w:t>mokytojams pareiginės algos koeficientai dėl veiklos sudėtingumo gali būti didinami 1-15 procentų, jei gimnazija turi pakankamai mokymo ir ugdymo procesui organizuoti ir valdyti lėšų, didinami:</w:t>
      </w:r>
    </w:p>
    <w:p w14:paraId="6A63173D">
      <w:pPr>
        <w:pStyle w:val="37"/>
        <w:numPr>
          <w:ilvl w:val="2"/>
          <w:numId w:val="1"/>
        </w:numPr>
        <w:shd w:val="clear" w:color="auto" w:fill="auto"/>
        <w:tabs>
          <w:tab w:val="left" w:pos="1526"/>
          <w:tab w:val="left" w:pos="1843"/>
        </w:tabs>
        <w:spacing w:before="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jei mokytojas moko dėl įgimtų ar įgytų sutrikimų turinčių specialiuosius ugdymosi poreikius mokinius:</w:t>
      </w:r>
    </w:p>
    <w:tbl>
      <w:tblPr>
        <w:tblStyle w:val="21"/>
        <w:tblW w:w="994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90"/>
        <w:gridCol w:w="2700"/>
        <w:gridCol w:w="2559"/>
      </w:tblGrid>
      <w:tr w14:paraId="5C2D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4690" w:type="dxa"/>
          </w:tcPr>
          <w:p w14:paraId="767F5E04">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Mokytojas moko:</w:t>
            </w:r>
          </w:p>
        </w:tc>
        <w:tc>
          <w:tcPr>
            <w:tcW w:w="2700" w:type="dxa"/>
          </w:tcPr>
          <w:p w14:paraId="0F46BE03">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Mokinių skaičius keliose klasėse (grupėse)</w:t>
            </w:r>
          </w:p>
        </w:tc>
        <w:tc>
          <w:tcPr>
            <w:tcW w:w="2559" w:type="dxa"/>
          </w:tcPr>
          <w:p w14:paraId="27F424A0">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Koeficiento didinimo procentai</w:t>
            </w:r>
          </w:p>
        </w:tc>
      </w:tr>
      <w:tr w14:paraId="4C59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690" w:type="dxa"/>
            <w:vMerge w:val="restart"/>
          </w:tcPr>
          <w:p w14:paraId="6579BF4F">
            <w:pPr>
              <w:pStyle w:val="37"/>
              <w:shd w:val="clear" w:color="auto" w:fill="auto"/>
              <w:tabs>
                <w:tab w:val="left" w:pos="1526"/>
              </w:tabs>
              <w:spacing w:before="0" w:line="240" w:lineRule="auto"/>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mokinius, dėl įgimtų ar įgytų sutrikimų turinčius </w:t>
            </w:r>
            <w:r>
              <w:rPr>
                <w:rFonts w:ascii="Times New Roman" w:hAnsi="Times New Roman" w:cs="Times New Roman"/>
                <w:b/>
                <w:i/>
                <w:color w:val="000000" w:themeColor="text1"/>
                <w:sz w:val="24"/>
                <w:szCs w:val="24"/>
                <w14:textFill>
                  <w14:solidFill>
                    <w14:schemeClr w14:val="tx1"/>
                  </w14:solidFill>
                </w14:textFill>
              </w:rPr>
              <w:t>vidutinius</w:t>
            </w:r>
            <w:r>
              <w:rPr>
                <w:rFonts w:ascii="Times New Roman" w:hAnsi="Times New Roman" w:cs="Times New Roman"/>
                <w:color w:val="000000" w:themeColor="text1"/>
                <w:sz w:val="24"/>
                <w:szCs w:val="24"/>
                <w14:textFill>
                  <w14:solidFill>
                    <w14:schemeClr w14:val="tx1"/>
                  </w14:solidFill>
                </w14:textFill>
              </w:rPr>
              <w:t xml:space="preserve"> specialiuosius ugdymosi poreikius</w:t>
            </w:r>
          </w:p>
        </w:tc>
        <w:tc>
          <w:tcPr>
            <w:tcW w:w="2700" w:type="dxa"/>
          </w:tcPr>
          <w:p w14:paraId="0AAD2CF1">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lang w:val="en-GB"/>
                <w14:textFill>
                  <w14:solidFill>
                    <w14:schemeClr w14:val="tx1"/>
                  </w14:solidFill>
                </w14:textFill>
              </w:rPr>
            </w:pPr>
            <w:r>
              <w:rPr>
                <w:rFonts w:ascii="Times New Roman" w:hAnsi="Times New Roman" w:cs="Times New Roman"/>
                <w:color w:val="000000" w:themeColor="text1"/>
                <w:sz w:val="24"/>
                <w:szCs w:val="24"/>
                <w:lang w:val="en-GB"/>
                <w14:textFill>
                  <w14:solidFill>
                    <w14:schemeClr w14:val="tx1"/>
                  </w14:solidFill>
                </w14:textFill>
              </w:rPr>
              <w:t xml:space="preserve">1 </w:t>
            </w:r>
          </w:p>
        </w:tc>
        <w:tc>
          <w:tcPr>
            <w:tcW w:w="2559" w:type="dxa"/>
          </w:tcPr>
          <w:p w14:paraId="30A1DAF7">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p>
        </w:tc>
      </w:tr>
      <w:tr w14:paraId="71C6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90" w:type="dxa"/>
            <w:vMerge w:val="continue"/>
          </w:tcPr>
          <w:p w14:paraId="339EA209">
            <w:pPr>
              <w:pStyle w:val="37"/>
              <w:shd w:val="clear" w:color="auto" w:fill="auto"/>
              <w:tabs>
                <w:tab w:val="left" w:pos="1526"/>
              </w:tabs>
              <w:spacing w:before="0" w:line="240" w:lineRule="auto"/>
              <w:jc w:val="left"/>
              <w:rPr>
                <w:rFonts w:ascii="Times New Roman" w:hAnsi="Times New Roman" w:cs="Times New Roman"/>
                <w:color w:val="000000" w:themeColor="text1"/>
                <w:sz w:val="24"/>
                <w:szCs w:val="24"/>
                <w14:textFill>
                  <w14:solidFill>
                    <w14:schemeClr w14:val="tx1"/>
                  </w14:solidFill>
                </w14:textFill>
              </w:rPr>
            </w:pPr>
          </w:p>
        </w:tc>
        <w:tc>
          <w:tcPr>
            <w:tcW w:w="2700" w:type="dxa"/>
          </w:tcPr>
          <w:p w14:paraId="67BAFA73">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2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15</w:t>
            </w:r>
          </w:p>
        </w:tc>
        <w:tc>
          <w:tcPr>
            <w:tcW w:w="2559" w:type="dxa"/>
          </w:tcPr>
          <w:p w14:paraId="0B26FD0D">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1,5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8</w:t>
            </w:r>
          </w:p>
        </w:tc>
      </w:tr>
      <w:tr w14:paraId="1E61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4690" w:type="dxa"/>
            <w:vMerge w:val="restart"/>
          </w:tcPr>
          <w:p w14:paraId="67EC5AA8">
            <w:pPr>
              <w:pStyle w:val="37"/>
              <w:shd w:val="clear" w:color="auto" w:fill="auto"/>
              <w:tabs>
                <w:tab w:val="left" w:pos="1526"/>
              </w:tabs>
              <w:spacing w:before="0" w:line="240" w:lineRule="auto"/>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mokinius, dėl įgimtų ar įgytų sutrikimų turinčius </w:t>
            </w:r>
            <w:r>
              <w:rPr>
                <w:rFonts w:ascii="Times New Roman" w:hAnsi="Times New Roman" w:cs="Times New Roman"/>
                <w:b/>
                <w:color w:val="000000" w:themeColor="text1"/>
                <w:sz w:val="24"/>
                <w:szCs w:val="24"/>
                <w14:textFill>
                  <w14:solidFill>
                    <w14:schemeClr w14:val="tx1"/>
                  </w14:solidFill>
                </w14:textFill>
              </w:rPr>
              <w:t>didelius ar labai didelius</w:t>
            </w:r>
            <w:r>
              <w:rPr>
                <w:rFonts w:ascii="Times New Roman" w:hAnsi="Times New Roman" w:cs="Times New Roman"/>
                <w:color w:val="000000" w:themeColor="text1"/>
                <w:sz w:val="24"/>
                <w:szCs w:val="24"/>
                <w14:textFill>
                  <w14:solidFill>
                    <w14:schemeClr w14:val="tx1"/>
                  </w14:solidFill>
                </w14:textFill>
              </w:rPr>
              <w:t xml:space="preserve"> specialiuosius ugdymosi poreikius </w:t>
            </w:r>
          </w:p>
        </w:tc>
        <w:tc>
          <w:tcPr>
            <w:tcW w:w="2700" w:type="dxa"/>
          </w:tcPr>
          <w:p w14:paraId="715ECBC0">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1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10</w:t>
            </w:r>
          </w:p>
        </w:tc>
        <w:tc>
          <w:tcPr>
            <w:tcW w:w="2559" w:type="dxa"/>
          </w:tcPr>
          <w:p w14:paraId="5CBB7418">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2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11</w:t>
            </w:r>
          </w:p>
        </w:tc>
      </w:tr>
      <w:tr w14:paraId="29D21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4690" w:type="dxa"/>
            <w:vMerge w:val="continue"/>
          </w:tcPr>
          <w:p w14:paraId="2066C2CC">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p>
        </w:tc>
        <w:tc>
          <w:tcPr>
            <w:tcW w:w="2700" w:type="dxa"/>
          </w:tcPr>
          <w:p w14:paraId="214BCA87">
            <w:pPr>
              <w:pStyle w:val="37"/>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11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20</w:t>
            </w:r>
          </w:p>
        </w:tc>
        <w:tc>
          <w:tcPr>
            <w:tcW w:w="2559" w:type="dxa"/>
          </w:tcPr>
          <w:p w14:paraId="73A55C48">
            <w:pPr>
              <w:pStyle w:val="37"/>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12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15</w:t>
            </w:r>
          </w:p>
        </w:tc>
      </w:tr>
    </w:tbl>
    <w:p w14:paraId="7C7CE735">
      <w:pPr>
        <w:pStyle w:val="37"/>
        <w:shd w:val="clear" w:color="auto" w:fill="auto"/>
        <w:tabs>
          <w:tab w:val="left" w:pos="1526"/>
          <w:tab w:val="left" w:pos="1843"/>
        </w:tabs>
        <w:spacing w:before="0" w:line="240" w:lineRule="auto"/>
        <w:ind w:left="851"/>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Pastabos: </w:t>
      </w:r>
    </w:p>
    <w:p w14:paraId="5EBEC5E7">
      <w:pPr>
        <w:pStyle w:val="37"/>
        <w:numPr>
          <w:ilvl w:val="0"/>
          <w:numId w:val="2"/>
        </w:numPr>
        <w:shd w:val="clear" w:color="auto" w:fill="auto"/>
        <w:spacing w:before="0" w:line="240" w:lineRule="auto"/>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Už vieną mokinį, ugdomą pagal bendrąsias programas, sudėtingumo koeficientas 1 procentas. Už kiekvieną kitą mokinį pridedama 0,5 procentai;</w:t>
      </w:r>
    </w:p>
    <w:p w14:paraId="57BB0D40">
      <w:pPr>
        <w:pStyle w:val="37"/>
        <w:numPr>
          <w:ilvl w:val="0"/>
          <w:numId w:val="2"/>
        </w:numPr>
        <w:shd w:val="clear" w:color="auto" w:fill="auto"/>
        <w:spacing w:before="0" w:line="240" w:lineRule="auto"/>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Atsižvelgus į konkretaus mokinio situaciją, mokytojui, mokančiam mokinį dėl įgimtų ar įgytų sutrikimų turintį vidutinius specialiuosius ugdymosi poreikius, koeficientas gali būti didinamas ir 2 </w:t>
      </w:r>
      <w:r>
        <w:rPr>
          <w:rFonts w:ascii="Times New Roman" w:hAnsi="Times New Roman" w:cs="Times New Roman"/>
          <w:sz w:val="18"/>
          <w:szCs w:val="18"/>
        </w:rPr>
        <w:t xml:space="preserve">– </w:t>
      </w:r>
      <w:r>
        <w:rPr>
          <w:rFonts w:ascii="Times New Roman" w:hAnsi="Times New Roman" w:cs="Times New Roman"/>
          <w:color w:val="000000" w:themeColor="text1"/>
          <w:sz w:val="18"/>
          <w:szCs w:val="18"/>
          <w14:textFill>
            <w14:solidFill>
              <w14:schemeClr w14:val="tx1"/>
            </w14:solidFill>
          </w14:textFill>
        </w:rPr>
        <w:t>5 procentais (pvz. mokinys, turintis autizmo spektro sutrikimų);</w:t>
      </w:r>
    </w:p>
    <w:p w14:paraId="73B6C919">
      <w:pPr>
        <w:pStyle w:val="37"/>
        <w:numPr>
          <w:ilvl w:val="0"/>
          <w:numId w:val="2"/>
        </w:numPr>
        <w:shd w:val="clear" w:color="auto" w:fill="auto"/>
        <w:spacing w:before="0" w:line="240" w:lineRule="auto"/>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Už vieną didelių ar labai didelių specialiųjų ugdymosi poreikių turintį mokinį – po 2 procentus, už kiekvieną mokinį papildomai – po 1 procentą.</w:t>
      </w:r>
    </w:p>
    <w:p w14:paraId="5930344E">
      <w:pPr>
        <w:pStyle w:val="37"/>
        <w:shd w:val="clear" w:color="auto" w:fill="auto"/>
        <w:spacing w:before="0" w:line="240" w:lineRule="auto"/>
        <w:ind w:left="720"/>
        <w:rPr>
          <w:rFonts w:ascii="Times New Roman" w:hAnsi="Times New Roman" w:cs="Times New Roman"/>
          <w:color w:val="000000" w:themeColor="text1"/>
          <w:sz w:val="18"/>
          <w:szCs w:val="18"/>
          <w14:textFill>
            <w14:solidFill>
              <w14:schemeClr w14:val="tx1"/>
            </w14:solidFill>
          </w14:textFill>
        </w:rPr>
      </w:pPr>
    </w:p>
    <w:p w14:paraId="54F14043">
      <w:pPr>
        <w:pStyle w:val="37"/>
        <w:numPr>
          <w:ilvl w:val="2"/>
          <w:numId w:val="1"/>
        </w:numPr>
        <w:shd w:val="clear" w:color="auto" w:fill="auto"/>
        <w:tabs>
          <w:tab w:val="left" w:pos="1526"/>
          <w:tab w:val="left" w:pos="1843"/>
        </w:tabs>
        <w:spacing w:before="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mokantiems mokinį, kuriam dėl ligos ar patologijos skirtas mokymas namuose (koeficiento didinimo procentas priklauso nuo to, ar mokinys mokomas gimnazijoje, ar mokytojas vyksta pas mokinį į namus):</w:t>
      </w:r>
    </w:p>
    <w:tbl>
      <w:tblPr>
        <w:tblStyle w:val="21"/>
        <w:tblW w:w="1003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5"/>
        <w:gridCol w:w="2551"/>
        <w:gridCol w:w="2410"/>
      </w:tblGrid>
      <w:tr w14:paraId="0B16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5075" w:type="dxa"/>
            <w:vAlign w:val="center"/>
          </w:tcPr>
          <w:p w14:paraId="463B2514">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Mokytojas moko:</w:t>
            </w:r>
          </w:p>
        </w:tc>
        <w:tc>
          <w:tcPr>
            <w:tcW w:w="2551" w:type="dxa"/>
          </w:tcPr>
          <w:p w14:paraId="660A48D4">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Pamokų skaičius per savaitę</w:t>
            </w:r>
          </w:p>
        </w:tc>
        <w:tc>
          <w:tcPr>
            <w:tcW w:w="2410" w:type="dxa"/>
            <w:tcBorders>
              <w:right w:val="single" w:color="auto" w:sz="4" w:space="0"/>
            </w:tcBorders>
          </w:tcPr>
          <w:p w14:paraId="3398E1AE">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Koeficiento didinimo procentai</w:t>
            </w:r>
          </w:p>
        </w:tc>
      </w:tr>
      <w:tr w14:paraId="56B63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5075" w:type="dxa"/>
            <w:vMerge w:val="restart"/>
            <w:vAlign w:val="center"/>
          </w:tcPr>
          <w:p w14:paraId="7E7572AD">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vieną mokinį</w:t>
            </w:r>
          </w:p>
        </w:tc>
        <w:tc>
          <w:tcPr>
            <w:tcW w:w="2551" w:type="dxa"/>
            <w:tcBorders>
              <w:right w:val="single" w:color="auto" w:sz="4" w:space="0"/>
            </w:tcBorders>
            <w:vAlign w:val="center"/>
          </w:tcPr>
          <w:p w14:paraId="7ABD5E77">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1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2</w:t>
            </w:r>
          </w:p>
        </w:tc>
        <w:tc>
          <w:tcPr>
            <w:tcW w:w="2410" w:type="dxa"/>
            <w:tcBorders>
              <w:left w:val="single" w:color="auto" w:sz="4" w:space="0"/>
              <w:right w:val="single" w:color="auto" w:sz="4" w:space="0"/>
            </w:tcBorders>
            <w:vAlign w:val="center"/>
          </w:tcPr>
          <w:p w14:paraId="4DDDF2BE">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eastAsia="lt-LT"/>
                <w14:textFill>
                  <w14:solidFill>
                    <w14:schemeClr w14:val="tx1"/>
                  </w14:solidFill>
                </w14:textFill>
              </w:rPr>
              <w:t xml:space="preserve">1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lang w:eastAsia="lt-LT"/>
                <w14:textFill>
                  <w14:solidFill>
                    <w14:schemeClr w14:val="tx1"/>
                  </w14:solidFill>
                </w14:textFill>
              </w:rPr>
              <w:t>3</w:t>
            </w:r>
          </w:p>
        </w:tc>
      </w:tr>
      <w:tr w14:paraId="453F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5075" w:type="dxa"/>
            <w:vMerge w:val="continue"/>
            <w:vAlign w:val="center"/>
          </w:tcPr>
          <w:p w14:paraId="26ABCE95">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p>
        </w:tc>
        <w:tc>
          <w:tcPr>
            <w:tcW w:w="2551" w:type="dxa"/>
            <w:tcBorders>
              <w:right w:val="single" w:color="auto" w:sz="4" w:space="0"/>
            </w:tcBorders>
            <w:vAlign w:val="center"/>
          </w:tcPr>
          <w:p w14:paraId="2820EF24">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3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5</w:t>
            </w:r>
          </w:p>
        </w:tc>
        <w:tc>
          <w:tcPr>
            <w:tcW w:w="2410" w:type="dxa"/>
            <w:tcBorders>
              <w:left w:val="single" w:color="auto" w:sz="4" w:space="0"/>
              <w:right w:val="single" w:color="auto" w:sz="4" w:space="0"/>
            </w:tcBorders>
            <w:vAlign w:val="center"/>
          </w:tcPr>
          <w:p w14:paraId="1282F6B9">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3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5</w:t>
            </w:r>
          </w:p>
        </w:tc>
      </w:tr>
      <w:tr w14:paraId="7195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75" w:type="dxa"/>
            <w:vMerge w:val="restart"/>
            <w:vAlign w:val="center"/>
          </w:tcPr>
          <w:p w14:paraId="3A74F713">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du mokinius</w:t>
            </w:r>
          </w:p>
        </w:tc>
        <w:tc>
          <w:tcPr>
            <w:tcW w:w="2551" w:type="dxa"/>
            <w:tcBorders>
              <w:right w:val="single" w:color="auto" w:sz="4" w:space="0"/>
            </w:tcBorders>
            <w:vAlign w:val="center"/>
          </w:tcPr>
          <w:p w14:paraId="34377396">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1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2</w:t>
            </w:r>
          </w:p>
        </w:tc>
        <w:tc>
          <w:tcPr>
            <w:tcW w:w="2410" w:type="dxa"/>
            <w:tcBorders>
              <w:left w:val="single" w:color="auto" w:sz="4" w:space="0"/>
              <w:right w:val="single" w:color="auto" w:sz="4" w:space="0"/>
            </w:tcBorders>
            <w:vAlign w:val="center"/>
          </w:tcPr>
          <w:p w14:paraId="4E5A199B">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3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5</w:t>
            </w:r>
          </w:p>
        </w:tc>
      </w:tr>
      <w:tr w14:paraId="16FC7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075" w:type="dxa"/>
            <w:vMerge w:val="continue"/>
            <w:vAlign w:val="center"/>
          </w:tcPr>
          <w:p w14:paraId="05D94021">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p>
        </w:tc>
        <w:tc>
          <w:tcPr>
            <w:tcW w:w="2551" w:type="dxa"/>
            <w:tcBorders>
              <w:right w:val="single" w:color="auto" w:sz="4" w:space="0"/>
            </w:tcBorders>
            <w:vAlign w:val="center"/>
          </w:tcPr>
          <w:p w14:paraId="7A7DF7BE">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3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5</w:t>
            </w:r>
          </w:p>
        </w:tc>
        <w:tc>
          <w:tcPr>
            <w:tcW w:w="2410" w:type="dxa"/>
            <w:tcBorders>
              <w:left w:val="single" w:color="auto" w:sz="4" w:space="0"/>
              <w:right w:val="single" w:color="auto" w:sz="4" w:space="0"/>
            </w:tcBorders>
            <w:vAlign w:val="center"/>
          </w:tcPr>
          <w:p w14:paraId="4D963859">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5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7</w:t>
            </w:r>
          </w:p>
        </w:tc>
      </w:tr>
      <w:tr w14:paraId="546D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5075" w:type="dxa"/>
            <w:vMerge w:val="restart"/>
            <w:vAlign w:val="center"/>
          </w:tcPr>
          <w:p w14:paraId="6FBEE023">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tris ir daugiau</w:t>
            </w:r>
          </w:p>
        </w:tc>
        <w:tc>
          <w:tcPr>
            <w:tcW w:w="2551" w:type="dxa"/>
            <w:tcBorders>
              <w:right w:val="single" w:color="auto" w:sz="4" w:space="0"/>
            </w:tcBorders>
            <w:vAlign w:val="center"/>
          </w:tcPr>
          <w:p w14:paraId="08A99FAC">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1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2</w:t>
            </w:r>
          </w:p>
        </w:tc>
        <w:tc>
          <w:tcPr>
            <w:tcW w:w="2410" w:type="dxa"/>
            <w:tcBorders>
              <w:left w:val="single" w:color="auto" w:sz="4" w:space="0"/>
              <w:right w:val="single" w:color="auto" w:sz="4" w:space="0"/>
            </w:tcBorders>
            <w:vAlign w:val="center"/>
          </w:tcPr>
          <w:p w14:paraId="6E5F2DD2">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4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7</w:t>
            </w:r>
          </w:p>
        </w:tc>
      </w:tr>
      <w:tr w14:paraId="40CF4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5075" w:type="dxa"/>
            <w:vMerge w:val="continue"/>
            <w:vAlign w:val="center"/>
          </w:tcPr>
          <w:p w14:paraId="14977A1C">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p>
        </w:tc>
        <w:tc>
          <w:tcPr>
            <w:tcW w:w="2551" w:type="dxa"/>
            <w:tcBorders>
              <w:right w:val="single" w:color="auto" w:sz="4" w:space="0"/>
            </w:tcBorders>
            <w:vAlign w:val="center"/>
          </w:tcPr>
          <w:p w14:paraId="12345373">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3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5</w:t>
            </w:r>
          </w:p>
        </w:tc>
        <w:tc>
          <w:tcPr>
            <w:tcW w:w="2410" w:type="dxa"/>
            <w:tcBorders>
              <w:left w:val="single" w:color="auto" w:sz="4" w:space="0"/>
              <w:right w:val="single" w:color="auto" w:sz="4" w:space="0"/>
            </w:tcBorders>
            <w:vAlign w:val="center"/>
          </w:tcPr>
          <w:p w14:paraId="7C721CFE">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7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9</w:t>
            </w:r>
          </w:p>
        </w:tc>
      </w:tr>
      <w:tr w14:paraId="7073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5075" w:type="dxa"/>
            <w:vAlign w:val="center"/>
          </w:tcPr>
          <w:p w14:paraId="6A163D11">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pradinių klasių vieną mokinį visų dalykų</w:t>
            </w:r>
          </w:p>
        </w:tc>
        <w:tc>
          <w:tcPr>
            <w:tcW w:w="2551" w:type="dxa"/>
            <w:tcBorders>
              <w:right w:val="single" w:color="auto" w:sz="4" w:space="0"/>
            </w:tcBorders>
            <w:vAlign w:val="center"/>
          </w:tcPr>
          <w:p w14:paraId="7231A51E">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p>
        </w:tc>
        <w:tc>
          <w:tcPr>
            <w:tcW w:w="2410" w:type="dxa"/>
            <w:tcBorders>
              <w:left w:val="single" w:color="auto" w:sz="4" w:space="0"/>
              <w:right w:val="single" w:color="auto" w:sz="4" w:space="0"/>
            </w:tcBorders>
            <w:vAlign w:val="center"/>
          </w:tcPr>
          <w:p w14:paraId="759857F9">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2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7</w:t>
            </w:r>
          </w:p>
        </w:tc>
      </w:tr>
      <w:tr w14:paraId="610E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5075" w:type="dxa"/>
            <w:vAlign w:val="center"/>
          </w:tcPr>
          <w:p w14:paraId="261F7271">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pradinių klasių du – keturis mokinius visų dalykų</w:t>
            </w:r>
          </w:p>
        </w:tc>
        <w:tc>
          <w:tcPr>
            <w:tcW w:w="2551" w:type="dxa"/>
            <w:tcBorders>
              <w:right w:val="single" w:color="auto" w:sz="4" w:space="0"/>
            </w:tcBorders>
            <w:vAlign w:val="center"/>
          </w:tcPr>
          <w:p w14:paraId="1F7624A8">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p>
        </w:tc>
        <w:tc>
          <w:tcPr>
            <w:tcW w:w="2410" w:type="dxa"/>
            <w:tcBorders>
              <w:left w:val="single" w:color="auto" w:sz="4" w:space="0"/>
              <w:right w:val="single" w:color="auto" w:sz="4" w:space="0"/>
            </w:tcBorders>
            <w:vAlign w:val="center"/>
          </w:tcPr>
          <w:p w14:paraId="1268FF13">
            <w:pPr>
              <w:pStyle w:val="37"/>
              <w:shd w:val="clear" w:color="auto" w:fill="auto"/>
              <w:tabs>
                <w:tab w:val="left" w:pos="1526"/>
              </w:tabs>
              <w:spacing w:before="0" w:line="24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sz w:val="16"/>
                <w:szCs w:val="16"/>
              </w:rPr>
              <w:t xml:space="preserve">– </w:t>
            </w:r>
            <w:r>
              <w:rPr>
                <w:rFonts w:ascii="Times New Roman" w:hAnsi="Times New Roman" w:cs="Times New Roman"/>
                <w:color w:val="000000" w:themeColor="text1"/>
                <w:sz w:val="24"/>
                <w:szCs w:val="24"/>
                <w14:textFill>
                  <w14:solidFill>
                    <w14:schemeClr w14:val="tx1"/>
                  </w14:solidFill>
                </w14:textFill>
              </w:rPr>
              <w:t>10</w:t>
            </w:r>
          </w:p>
        </w:tc>
      </w:tr>
    </w:tbl>
    <w:p w14:paraId="69AA622A">
      <w:pPr>
        <w:pStyle w:val="37"/>
        <w:shd w:val="clear" w:color="auto" w:fill="auto"/>
        <w:tabs>
          <w:tab w:val="left" w:pos="1526"/>
          <w:tab w:val="left" w:pos="1843"/>
        </w:tabs>
        <w:spacing w:before="0" w:line="240" w:lineRule="auto"/>
        <w:ind w:left="851"/>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Pastaba. Trumpalaikio mokymo namuose atveju pareiginės algos koeficientas didinamas tik tam laikotarpiui gimnazijos direktoriaus įsakymu (aukščiau nustatytais koeficientais);</w:t>
      </w:r>
    </w:p>
    <w:p w14:paraId="23FA6CE4">
      <w:pPr>
        <w:pStyle w:val="37"/>
        <w:shd w:val="clear" w:color="auto" w:fill="auto"/>
        <w:tabs>
          <w:tab w:val="left" w:pos="1526"/>
          <w:tab w:val="left" w:pos="1843"/>
        </w:tabs>
        <w:spacing w:before="0" w:line="240" w:lineRule="auto"/>
        <w:ind w:left="851"/>
        <w:rPr>
          <w:rFonts w:ascii="Times New Roman" w:hAnsi="Times New Roman" w:cs="Times New Roman"/>
          <w:color w:val="000000" w:themeColor="text1"/>
          <w:sz w:val="18"/>
          <w:szCs w:val="18"/>
          <w14:textFill>
            <w14:solidFill>
              <w14:schemeClr w14:val="tx1"/>
            </w14:solidFill>
          </w14:textFill>
        </w:rPr>
      </w:pPr>
    </w:p>
    <w:p w14:paraId="2426E138">
      <w:pPr>
        <w:pStyle w:val="37"/>
        <w:numPr>
          <w:ilvl w:val="2"/>
          <w:numId w:val="1"/>
        </w:numPr>
        <w:shd w:val="clear" w:color="auto" w:fill="auto"/>
        <w:tabs>
          <w:tab w:val="left" w:pos="1526"/>
          <w:tab w:val="left" w:pos="1843"/>
        </w:tabs>
        <w:spacing w:before="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1-3 proc. mokantiems vieną ir daugiau užsieniečių ar Lietuvos Respublikos piliečių, atvykusių gyventi į Lietuvos Respubliką, nemokančių valstybinės kalbos, dvejus metus nuo mokinio mokymosi pradžios Lietuvos Respublikoje pagal bendrojo ugdymo programas;</w:t>
      </w:r>
    </w:p>
    <w:p w14:paraId="0DA55D01">
      <w:pPr>
        <w:pStyle w:val="37"/>
        <w:numPr>
          <w:ilvl w:val="2"/>
          <w:numId w:val="1"/>
        </w:numPr>
        <w:tabs>
          <w:tab w:val="left" w:pos="1526"/>
          <w:tab w:val="left" w:pos="1843"/>
        </w:tabs>
        <w:spacing w:before="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gali būti didinami iki 20 procentų pagal kitus mokyklos darbo apmokėjimo Apraše nustatytus kriterijus:</w:t>
      </w:r>
    </w:p>
    <w:p w14:paraId="1BEDA6E3">
      <w:pPr>
        <w:pStyle w:val="37"/>
        <w:tabs>
          <w:tab w:val="left" w:pos="1526"/>
          <w:tab w:val="left" w:pos="1843"/>
        </w:tabs>
        <w:spacing w:before="0" w:line="240" w:lineRule="auto"/>
        <w:ind w:left="851"/>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59.5.4.1. dėl padidinto darbo masto dirbant su jungtine klase iki 20 procentų;</w:t>
      </w:r>
    </w:p>
    <w:p w14:paraId="07281CCC">
      <w:pPr>
        <w:pStyle w:val="37"/>
        <w:tabs>
          <w:tab w:val="left" w:pos="1526"/>
          <w:tab w:val="left" w:pos="1843"/>
        </w:tabs>
        <w:spacing w:before="0" w:line="240" w:lineRule="auto"/>
        <w:ind w:left="851"/>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59.5.4.2. konsultacijos iki 10 procentų;</w:t>
      </w:r>
    </w:p>
    <w:p w14:paraId="28E578C8">
      <w:pPr>
        <w:pStyle w:val="37"/>
        <w:tabs>
          <w:tab w:val="left" w:pos="1526"/>
          <w:tab w:val="left" w:pos="1843"/>
        </w:tabs>
        <w:spacing w:before="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59.5.4.3. už kitus papildomus darbus – 3 procentai.</w:t>
      </w:r>
    </w:p>
    <w:p w14:paraId="698EB481">
      <w:pPr>
        <w:pStyle w:val="37"/>
        <w:numPr>
          <w:ilvl w:val="1"/>
          <w:numId w:val="1"/>
        </w:numPr>
        <w:shd w:val="clear" w:color="auto" w:fill="auto"/>
        <w:tabs>
          <w:tab w:val="left" w:pos="1526"/>
        </w:tabs>
        <w:spacing w:before="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Jeigu mokytojo, dirbančio pagal bendrojo ugdymo ir neformaliojo švietimo programas, veikla atitinka du ir daugiau 59.5. punkte nustatytų kriterijų, jo pareiginės algos pastoviosios dalies koeficientas didinamas ne daugiau kaip 25 procentais. Pareiginės algos pastoviosios dalies koeficientų didinimo dėl veiklos sudėtingumo kriterijai, nurodyti 59.5. punkte, atsižvelgiant į veiklos sudėtingumo apimtį, detalizuojami mokyklos darbo apmokėjimo Apraše.</w:t>
      </w:r>
    </w:p>
    <w:p w14:paraId="1B4B5AB7">
      <w:pPr>
        <w:pStyle w:val="37"/>
        <w:numPr>
          <w:ilvl w:val="1"/>
          <w:numId w:val="1"/>
        </w:numPr>
        <w:shd w:val="clear" w:color="auto" w:fill="auto"/>
        <w:tabs>
          <w:tab w:val="left" w:pos="1526"/>
        </w:tabs>
        <w:spacing w:before="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Socialinio pedagogo, logopedo, psichologo ir psichologo asistento pareiginės algos pastoviosios dalies koeficientai:</w:t>
      </w:r>
    </w:p>
    <w:tbl>
      <w:tblPr>
        <w:tblStyle w:val="12"/>
        <w:tblW w:w="97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74"/>
        <w:gridCol w:w="729"/>
        <w:gridCol w:w="431"/>
        <w:gridCol w:w="1015"/>
        <w:gridCol w:w="1160"/>
        <w:gridCol w:w="1160"/>
        <w:gridCol w:w="1015"/>
        <w:gridCol w:w="1015"/>
        <w:gridCol w:w="1017"/>
      </w:tblGrid>
      <w:tr w14:paraId="0151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217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30BB8A5">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Kvalifikacinė</w:t>
            </w:r>
          </w:p>
          <w:p w14:paraId="23B78A34">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kategorija</w:t>
            </w:r>
          </w:p>
        </w:tc>
        <w:tc>
          <w:tcPr>
            <w:tcW w:w="7542" w:type="dxa"/>
            <w:gridSpan w:val="8"/>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33DB4E5">
            <w:pPr>
              <w:widowControl w:val="0"/>
              <w:spacing w:after="0" w:line="240" w:lineRule="auto"/>
              <w:jc w:val="center"/>
              <w:rPr>
                <w:rFonts w:ascii="Times New Roman" w:hAnsi="Times New Roman" w:cs="Times New Roman"/>
                <w:iCs/>
                <w:sz w:val="24"/>
                <w:szCs w:val="24"/>
              </w:rPr>
            </w:pPr>
            <w:r>
              <w:rPr>
                <w:rFonts w:ascii="Times New Roman" w:hAnsi="Times New Roman" w:cs="Times New Roman"/>
                <w:bCs/>
                <w:iCs/>
                <w:sz w:val="24"/>
                <w:szCs w:val="24"/>
              </w:rPr>
              <w:t xml:space="preserve">Pareiginės algos </w:t>
            </w:r>
            <w:r>
              <w:rPr>
                <w:rFonts w:ascii="Times New Roman" w:hAnsi="Times New Roman" w:cs="Times New Roman"/>
                <w:bCs/>
                <w:iCs/>
                <w:sz w:val="24"/>
                <w:szCs w:val="24"/>
                <w:lang w:eastAsia="lt-LT"/>
              </w:rPr>
              <w:t>koeficientai</w:t>
            </w:r>
          </w:p>
        </w:tc>
      </w:tr>
      <w:tr w14:paraId="0410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2174" w:type="dxa"/>
            <w:vMerge w:val="continue"/>
            <w:tcBorders>
              <w:top w:val="single" w:color="auto" w:sz="4" w:space="0"/>
              <w:left w:val="single" w:color="auto" w:sz="4" w:space="0"/>
              <w:bottom w:val="single" w:color="auto" w:sz="4" w:space="0"/>
              <w:right w:val="single" w:color="auto" w:sz="4" w:space="0"/>
            </w:tcBorders>
            <w:vAlign w:val="center"/>
          </w:tcPr>
          <w:p w14:paraId="341C32B9">
            <w:pPr>
              <w:widowControl w:val="0"/>
              <w:spacing w:after="0" w:line="240" w:lineRule="auto"/>
              <w:jc w:val="center"/>
              <w:rPr>
                <w:rFonts w:ascii="Times New Roman" w:hAnsi="Times New Roman" w:cs="Times New Roman"/>
                <w:iCs/>
                <w:sz w:val="24"/>
                <w:szCs w:val="24"/>
              </w:rPr>
            </w:pPr>
          </w:p>
        </w:tc>
        <w:tc>
          <w:tcPr>
            <w:tcW w:w="7542" w:type="dxa"/>
            <w:gridSpan w:val="8"/>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8D2A4FF">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Pedagoginio darbo stažas (metais)</w:t>
            </w:r>
          </w:p>
        </w:tc>
      </w:tr>
      <w:tr w14:paraId="3D88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8" w:hRule="atLeast"/>
          <w:jc w:val="center"/>
        </w:trPr>
        <w:tc>
          <w:tcPr>
            <w:tcW w:w="2174" w:type="dxa"/>
            <w:vMerge w:val="continue"/>
            <w:tcBorders>
              <w:top w:val="single" w:color="auto" w:sz="4" w:space="0"/>
              <w:left w:val="single" w:color="auto" w:sz="4" w:space="0"/>
              <w:bottom w:val="single" w:color="auto" w:sz="4" w:space="0"/>
              <w:right w:val="single" w:color="auto" w:sz="4" w:space="0"/>
            </w:tcBorders>
            <w:vAlign w:val="center"/>
          </w:tcPr>
          <w:p w14:paraId="0C3F4C95">
            <w:pPr>
              <w:widowControl w:val="0"/>
              <w:spacing w:after="0" w:line="240" w:lineRule="auto"/>
              <w:jc w:val="center"/>
              <w:rPr>
                <w:rFonts w:ascii="Times New Roman" w:hAnsi="Times New Roman" w:cs="Times New Roman"/>
                <w:iCs/>
                <w:sz w:val="24"/>
                <w:szCs w:val="24"/>
              </w:rPr>
            </w:pPr>
          </w:p>
        </w:tc>
        <w:tc>
          <w:tcPr>
            <w:tcW w:w="72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369A9E5">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iki 2</w:t>
            </w:r>
          </w:p>
        </w:tc>
        <w:tc>
          <w:tcPr>
            <w:tcW w:w="1446"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A7B81E">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nuo daugiau kaip 2 iki 5</w:t>
            </w: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84F2F8A">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nuo daugiau kaip 5 iki 10</w:t>
            </w: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0DF9667">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nuo daugiau kaip 10 iki 15</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C99BC05">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nuo daugiau kaip 15 iki 20</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0CED40D">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nuo daugiau kaip 20 iki 25</w:t>
            </w:r>
          </w:p>
        </w:tc>
        <w:tc>
          <w:tcPr>
            <w:tcW w:w="101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9A9AE18">
            <w:pPr>
              <w:widowControl w:val="0"/>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daugiau kaip 25</w:t>
            </w:r>
          </w:p>
        </w:tc>
      </w:tr>
      <w:tr w14:paraId="5AFE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8" w:hRule="atLeast"/>
          <w:jc w:val="center"/>
        </w:trPr>
        <w:tc>
          <w:tcPr>
            <w:tcW w:w="9716" w:type="dxa"/>
            <w:gridSpan w:val="9"/>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00D583B">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iCs/>
                <w:sz w:val="24"/>
                <w:szCs w:val="24"/>
              </w:rPr>
              <w:t>Nesuteiktos kvalifikacinės kategorijos</w:t>
            </w:r>
          </w:p>
        </w:tc>
      </w:tr>
      <w:tr w14:paraId="51D0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17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7DE8685">
            <w:pPr>
              <w:widowControl w:val="0"/>
              <w:spacing w:after="0" w:line="240" w:lineRule="auto"/>
              <w:ind w:right="38"/>
              <w:jc w:val="left"/>
              <w:rPr>
                <w:rFonts w:ascii="Times New Roman" w:hAnsi="Times New Roman" w:cs="Times New Roman"/>
                <w:iCs/>
                <w:sz w:val="24"/>
                <w:szCs w:val="24"/>
              </w:rPr>
            </w:pPr>
            <w:r>
              <w:rPr>
                <w:rFonts w:ascii="Times New Roman" w:hAnsi="Times New Roman" w:cs="Times New Roman"/>
                <w:iCs/>
                <w:sz w:val="24"/>
                <w:szCs w:val="24"/>
                <w:lang w:eastAsia="lt-LT"/>
              </w:rPr>
              <w:t>Socialinis pedagogas, logopedas, psichologo asistentas</w:t>
            </w:r>
          </w:p>
        </w:tc>
        <w:tc>
          <w:tcPr>
            <w:tcW w:w="1160"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EDB915B">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1,1041</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8641F69">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1,1082</w:t>
            </w: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15C054">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1,1177</w:t>
            </w: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18057C5">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1,1381</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3B3E0C8">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1,1735</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6C325B0">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1,1775</w:t>
            </w:r>
          </w:p>
        </w:tc>
        <w:tc>
          <w:tcPr>
            <w:tcW w:w="101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789856C">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1,1844</w:t>
            </w:r>
          </w:p>
        </w:tc>
      </w:tr>
      <w:tr w14:paraId="0332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9716" w:type="dxa"/>
            <w:gridSpan w:val="9"/>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55C5B96">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iCs/>
                <w:sz w:val="24"/>
                <w:szCs w:val="24"/>
              </w:rPr>
              <w:t>Suteiktos kvalifikacinės kategorijos</w:t>
            </w:r>
          </w:p>
        </w:tc>
      </w:tr>
      <w:tr w14:paraId="0ABC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4" w:hRule="atLeast"/>
          <w:jc w:val="center"/>
        </w:trPr>
        <w:tc>
          <w:tcPr>
            <w:tcW w:w="217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07835C6">
            <w:pPr>
              <w:widowControl w:val="0"/>
              <w:spacing w:after="0" w:line="240" w:lineRule="auto"/>
              <w:ind w:right="38"/>
              <w:jc w:val="left"/>
              <w:rPr>
                <w:rFonts w:ascii="Times New Roman" w:hAnsi="Times New Roman" w:cs="Times New Roman"/>
                <w:iCs/>
                <w:sz w:val="24"/>
                <w:szCs w:val="24"/>
                <w:lang w:eastAsia="lt-LT"/>
              </w:rPr>
            </w:pPr>
            <w:r>
              <w:rPr>
                <w:rFonts w:ascii="Times New Roman" w:hAnsi="Times New Roman" w:cs="Times New Roman"/>
                <w:iCs/>
                <w:sz w:val="24"/>
                <w:szCs w:val="24"/>
                <w:lang w:eastAsia="lt-LT"/>
              </w:rPr>
              <w:t>Socialinis pedagogas, logopedas, ketvirtos kategorijos psichologas</w:t>
            </w:r>
          </w:p>
        </w:tc>
        <w:tc>
          <w:tcPr>
            <w:tcW w:w="1160"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EB3C246">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1,1857</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130E401">
            <w:pPr>
              <w:widowControl w:val="0"/>
              <w:spacing w:after="0" w:line="240" w:lineRule="auto"/>
              <w:ind w:left="-110" w:right="38"/>
              <w:jc w:val="center"/>
              <w:rPr>
                <w:rFonts w:ascii="Times New Roman" w:hAnsi="Times New Roman" w:cs="Times New Roman"/>
                <w:iCs/>
                <w:sz w:val="24"/>
                <w:szCs w:val="24"/>
              </w:rPr>
            </w:pPr>
            <w:r>
              <w:rPr>
                <w:rFonts w:ascii="Times New Roman" w:hAnsi="Times New Roman" w:cs="Times New Roman"/>
                <w:sz w:val="24"/>
                <w:szCs w:val="24"/>
              </w:rPr>
              <w:t>1,1886</w:t>
            </w: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BA7B568">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1,1899</w:t>
            </w: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BE735B8">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1,1966</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0048CA3">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1,1994</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9943D48">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1,2034</w:t>
            </w:r>
          </w:p>
        </w:tc>
        <w:tc>
          <w:tcPr>
            <w:tcW w:w="101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6FFB47F">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1,2129</w:t>
            </w:r>
          </w:p>
        </w:tc>
      </w:tr>
      <w:tr w14:paraId="60F4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4" w:hRule="atLeast"/>
          <w:jc w:val="center"/>
        </w:trPr>
        <w:tc>
          <w:tcPr>
            <w:tcW w:w="217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05481D7">
            <w:pPr>
              <w:widowControl w:val="0"/>
              <w:spacing w:after="0" w:line="240" w:lineRule="auto"/>
              <w:ind w:right="38"/>
              <w:jc w:val="left"/>
              <w:rPr>
                <w:rFonts w:ascii="Times New Roman" w:hAnsi="Times New Roman" w:cs="Times New Roman"/>
                <w:iCs/>
                <w:sz w:val="24"/>
                <w:szCs w:val="24"/>
                <w:lang w:eastAsia="lt-LT"/>
              </w:rPr>
            </w:pPr>
            <w:r>
              <w:rPr>
                <w:rFonts w:ascii="Times New Roman" w:hAnsi="Times New Roman" w:cs="Times New Roman"/>
                <w:iCs/>
                <w:sz w:val="24"/>
                <w:szCs w:val="24"/>
                <w:lang w:eastAsia="lt-LT"/>
              </w:rPr>
              <w:t>Vyresnysis socialinis pedagogas, vyresnysis logopedas, trečios kategorijos psichologas</w:t>
            </w:r>
          </w:p>
        </w:tc>
        <w:tc>
          <w:tcPr>
            <w:tcW w:w="1160"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5060246">
            <w:pPr>
              <w:widowControl w:val="0"/>
              <w:spacing w:after="0" w:line="240" w:lineRule="auto"/>
              <w:ind w:right="38" w:firstLine="62"/>
              <w:jc w:val="center"/>
              <w:rPr>
                <w:rFonts w:ascii="Times New Roman" w:hAnsi="Times New Roman" w:cs="Times New Roman"/>
                <w:iCs/>
                <w:sz w:val="24"/>
                <w:szCs w:val="24"/>
              </w:rPr>
            </w:pP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2922A4D">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1,2144</w:t>
            </w: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C6D6A9E">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1,2185</w:t>
            </w: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A01467">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1,2240</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43B9E91">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1,2730</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E3EF0C6">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1,2797</w:t>
            </w:r>
          </w:p>
        </w:tc>
        <w:tc>
          <w:tcPr>
            <w:tcW w:w="101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FA7BC6F">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1,2851</w:t>
            </w:r>
          </w:p>
        </w:tc>
      </w:tr>
      <w:tr w14:paraId="6671F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jc w:val="center"/>
        </w:trPr>
        <w:tc>
          <w:tcPr>
            <w:tcW w:w="217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F2A85E5">
            <w:pPr>
              <w:widowControl w:val="0"/>
              <w:spacing w:after="0" w:line="240" w:lineRule="auto"/>
              <w:ind w:right="38"/>
              <w:jc w:val="left"/>
              <w:rPr>
                <w:rFonts w:ascii="Times New Roman" w:hAnsi="Times New Roman" w:cs="Times New Roman"/>
                <w:iCs/>
                <w:sz w:val="24"/>
                <w:szCs w:val="24"/>
                <w:lang w:eastAsia="lt-LT"/>
              </w:rPr>
            </w:pPr>
            <w:r>
              <w:rPr>
                <w:rFonts w:ascii="Times New Roman" w:hAnsi="Times New Roman" w:cs="Times New Roman"/>
                <w:iCs/>
                <w:sz w:val="24"/>
                <w:szCs w:val="24"/>
                <w:lang w:eastAsia="lt-LT"/>
              </w:rPr>
              <w:t>Socialinis pedagogas metodininkas, logopedas metodininkas, antros kategorijos psichologas</w:t>
            </w:r>
          </w:p>
        </w:tc>
        <w:tc>
          <w:tcPr>
            <w:tcW w:w="1160"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5F725E">
            <w:pPr>
              <w:widowControl w:val="0"/>
              <w:spacing w:after="0" w:line="240" w:lineRule="auto"/>
              <w:ind w:right="38" w:firstLine="62"/>
              <w:jc w:val="left"/>
              <w:rPr>
                <w:rFonts w:ascii="Times New Roman" w:hAnsi="Times New Roman" w:cs="Times New Roman"/>
                <w:iCs/>
                <w:sz w:val="24"/>
                <w:szCs w:val="24"/>
              </w:rPr>
            </w:pP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1B34143">
            <w:pPr>
              <w:widowControl w:val="0"/>
              <w:spacing w:after="0" w:line="240" w:lineRule="auto"/>
              <w:ind w:right="38" w:firstLine="62"/>
              <w:jc w:val="left"/>
              <w:rPr>
                <w:rFonts w:ascii="Times New Roman" w:hAnsi="Times New Roman" w:cs="Times New Roman"/>
                <w:iCs/>
                <w:sz w:val="24"/>
                <w:szCs w:val="24"/>
              </w:rPr>
            </w:pP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DB7B42">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1,2974</w:t>
            </w:r>
          </w:p>
        </w:tc>
        <w:tc>
          <w:tcPr>
            <w:tcW w:w="116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3147D9A">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1,3206</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42342B4">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1,3627</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7C2D15A">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1,3683</w:t>
            </w:r>
          </w:p>
        </w:tc>
        <w:tc>
          <w:tcPr>
            <w:tcW w:w="101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7E63AFE">
            <w:pPr>
              <w:widowControl w:val="0"/>
              <w:spacing w:after="0" w:line="240" w:lineRule="auto"/>
              <w:ind w:right="38"/>
              <w:jc w:val="center"/>
              <w:rPr>
                <w:rFonts w:ascii="Times New Roman" w:hAnsi="Times New Roman" w:cs="Times New Roman"/>
                <w:iCs/>
                <w:sz w:val="24"/>
                <w:szCs w:val="24"/>
              </w:rPr>
            </w:pPr>
            <w:r>
              <w:rPr>
                <w:rFonts w:ascii="Times New Roman" w:hAnsi="Times New Roman" w:cs="Times New Roman"/>
                <w:sz w:val="24"/>
                <w:szCs w:val="24"/>
              </w:rPr>
              <w:t>1,3778</w:t>
            </w:r>
          </w:p>
        </w:tc>
      </w:tr>
    </w:tbl>
    <w:p w14:paraId="7D44269E">
      <w:pPr>
        <w:pStyle w:val="37"/>
        <w:shd w:val="clear" w:color="auto" w:fill="auto"/>
        <w:tabs>
          <w:tab w:val="left" w:pos="1526"/>
        </w:tabs>
        <w:spacing w:before="0" w:line="240" w:lineRule="auto"/>
        <w:rPr>
          <w:rFonts w:ascii="Times New Roman" w:hAnsi="Times New Roman" w:cs="Times New Roman"/>
          <w:sz w:val="24"/>
          <w:szCs w:val="24"/>
        </w:rPr>
      </w:pPr>
    </w:p>
    <w:p w14:paraId="07EAA90C">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pareiginės algos koeficientas dėl veiklos sudėtingumo 1 </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sz w:val="16"/>
          <w:szCs w:val="16"/>
        </w:rPr>
        <w:t xml:space="preserve"> </w:t>
      </w:r>
      <w:r>
        <w:rPr>
          <w:rFonts w:ascii="Times New Roman" w:hAnsi="Times New Roman" w:cs="Times New Roman"/>
          <w:sz w:val="24"/>
          <w:szCs w:val="24"/>
        </w:rPr>
        <w:t xml:space="preserve">5 procentais didinamas psichologui, psichologo asistentui, socialiniam pedagogui, konsultuojantiems specialiųjų ugdymosi poreikių turinčius mokinius pagal poreikį: </w:t>
      </w:r>
    </w:p>
    <w:p w14:paraId="63465B86">
      <w:pPr>
        <w:pStyle w:val="37"/>
        <w:numPr>
          <w:ilvl w:val="2"/>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0,5-1 procentu, jei konsultuojami 1 – 8 vidutinių specialiųjų ugdymosi poreikių turintys mokiniai;</w:t>
      </w:r>
    </w:p>
    <w:p w14:paraId="1C391E9B">
      <w:pPr>
        <w:pStyle w:val="37"/>
        <w:numPr>
          <w:ilvl w:val="2"/>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1-2 procentais, jei konsultuojami 1 – 3 didelių arba 9 – 15 vidutinių specialiųjų ugdymosi poreikių turintys mokiniai;</w:t>
      </w:r>
    </w:p>
    <w:p w14:paraId="546A0142">
      <w:pPr>
        <w:pStyle w:val="37"/>
        <w:numPr>
          <w:ilvl w:val="2"/>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 2-3 procentais, jei konsultuojami 4 – 6 didelių arba 16 – 20 vidutinių specialiųjų ugdymosi poreikių turintys mokiniai;</w:t>
      </w:r>
    </w:p>
    <w:p w14:paraId="40FFED98">
      <w:pPr>
        <w:pStyle w:val="37"/>
        <w:numPr>
          <w:ilvl w:val="2"/>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 konsultuojant ir didelių, ir vidutinių specialiųjų ugdymosi poreikių turinčius mokinius, procentai sumuojami, pvz.; konsultuojant 1 – 3 didelių, ir 1 – 8 vidutinių specialiųjų ugdymosi poreikių turinčius mokinius koeficientas didinamas 3 procentais.</w:t>
      </w:r>
    </w:p>
    <w:p w14:paraId="1FD0723A">
      <w:pPr>
        <w:pStyle w:val="37"/>
        <w:numPr>
          <w:ilvl w:val="1"/>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pareiginės algos koeficientas dėl veiklos sudėtingumo 2 – 3 procentais didinamas specialiajam pedagogui, logopedui, mokantiems didelių specialiųjų ugdymosi poreikių turinčius mokinius: </w:t>
      </w:r>
    </w:p>
    <w:p w14:paraId="06149F4A">
      <w:pPr>
        <w:pStyle w:val="37"/>
        <w:numPr>
          <w:ilvl w:val="2"/>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1-2 procentais, jei konsultuojami 1 – 3 didelių specialiųjų ugdymosi poreikių turintys mokiniai;</w:t>
      </w:r>
    </w:p>
    <w:p w14:paraId="202EF4DA">
      <w:pPr>
        <w:pStyle w:val="37"/>
        <w:numPr>
          <w:ilvl w:val="2"/>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 2-4 procentais, jei konsultuojami 4 – 6 didelių specialiųjų ugdymosi poreikių turintys mokiniai;</w:t>
      </w:r>
    </w:p>
    <w:p w14:paraId="5063F385">
      <w:pPr>
        <w:pStyle w:val="37"/>
        <w:numPr>
          <w:ilvl w:val="2"/>
          <w:numId w:val="1"/>
        </w:numPr>
        <w:shd w:val="clear" w:color="auto" w:fill="auto"/>
        <w:spacing w:before="0" w:line="240" w:lineRule="auto"/>
        <w:rPr>
          <w:rFonts w:ascii="Times New Roman" w:hAnsi="Times New Roman" w:cs="Times New Roman"/>
          <w:sz w:val="24"/>
          <w:szCs w:val="24"/>
        </w:rPr>
      </w:pPr>
      <w:r>
        <w:rPr>
          <w:rFonts w:ascii="Times New Roman" w:hAnsi="Times New Roman" w:cs="Times New Roman"/>
          <w:sz w:val="24"/>
          <w:szCs w:val="24"/>
        </w:rPr>
        <w:t>5 proc. specialiesiems pedagogams, logopedams, teikiantiems specialiąją pedagoginę pagalbą mokiniams, kuriems skirtas mokymas namuose.</w:t>
      </w:r>
    </w:p>
    <w:p w14:paraId="25821E11">
      <w:pPr>
        <w:pStyle w:val="37"/>
        <w:numPr>
          <w:ilvl w:val="1"/>
          <w:numId w:val="1"/>
        </w:numPr>
        <w:shd w:val="clear" w:color="auto" w:fill="auto"/>
        <w:tabs>
          <w:tab w:val="left" w:pos="152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gali būti didinami 5 – 10 proc. logopedui, specialiajam pedagogui, socialiniam pedagogui, psichologo asistentui, ikimokyklinio ir priešmokyklinio ugdymo mokytojoms, muzikos vadovui jei jie dirba su didesniu mokinių skaičiumi nei priklauso vienai pareigybei: </w:t>
      </w:r>
    </w:p>
    <w:p w14:paraId="5F063DAA">
      <w:pPr>
        <w:pStyle w:val="37"/>
        <w:numPr>
          <w:ilvl w:val="2"/>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2 procentais ikimokyklinio ir priešmokyklinio ugdymo mokytojoms, dirbantiems su 2 – 10 dėl įgimtų ar įgytų sutrikimų turinčių vidutinių specialiųjų ugdymosi poreikių turinčiais mokiniais arba 1 – 4 mokiniais dėl įgimtų ar įgytų sutrikimų turinčių didelių ar labai didelių specialiųjų ugdymosi poreikių;</w:t>
      </w:r>
    </w:p>
    <w:p w14:paraId="3449DB6C">
      <w:pPr>
        <w:pStyle w:val="37"/>
        <w:numPr>
          <w:ilvl w:val="2"/>
          <w:numId w:val="1"/>
        </w:numPr>
        <w:shd w:val="clear" w:color="auto" w:fill="auto"/>
        <w:tabs>
          <w:tab w:val="left" w:pos="1526"/>
        </w:tabs>
        <w:spacing w:before="0" w:line="240" w:lineRule="auto"/>
        <w:rPr>
          <w:rFonts w:ascii="Times New Roman" w:hAnsi="Times New Roman" w:cs="Times New Roman"/>
          <w:sz w:val="24"/>
          <w:szCs w:val="24"/>
        </w:rPr>
      </w:pPr>
      <w:r>
        <w:rPr>
          <w:rFonts w:ascii="Times New Roman" w:hAnsi="Times New Roman" w:cs="Times New Roman"/>
          <w:sz w:val="24"/>
          <w:szCs w:val="24"/>
        </w:rPr>
        <w:t>5 procentais ikimokyklinio ir priešmokyklinio ugdymo mokytojoms, dirbantiems su daugiau kaip 10 dėl įgimtų ar įgytų sutrikimų turinčių vidutinių specialiųjų ugdymosi poreikių turinčiais mokiniais arba daugiau kaip 4 mokiniais dėl įgimtų ar įgytų sutrikimų turinčių didelių ar labai didelių specialiųjų ugdymosi poreikių.</w:t>
      </w:r>
    </w:p>
    <w:p w14:paraId="48E6A109">
      <w:pPr>
        <w:pStyle w:val="37"/>
        <w:numPr>
          <w:ilvl w:val="1"/>
          <w:numId w:val="1"/>
        </w:numPr>
        <w:shd w:val="clear" w:color="auto" w:fill="auto"/>
        <w:tabs>
          <w:tab w:val="left" w:pos="1276"/>
          <w:tab w:val="left" w:pos="1560"/>
        </w:tabs>
        <w:spacing w:before="0" w:line="240" w:lineRule="auto"/>
        <w:rPr>
          <w:rFonts w:ascii="Times New Roman" w:hAnsi="Times New Roman" w:cs="Times New Roman"/>
          <w:sz w:val="24"/>
          <w:szCs w:val="24"/>
        </w:rPr>
      </w:pPr>
      <w:r>
        <w:rPr>
          <w:rFonts w:ascii="Times New Roman" w:hAnsi="Times New Roman" w:cs="Times New Roman"/>
          <w:sz w:val="24"/>
          <w:szCs w:val="24"/>
        </w:rPr>
        <w:t>mokytojo, švietimo pagalbos specialisto, ikimokyklinio ir priešmokyklinio ugdymo mokytojoms, muzikos vadovo pareiginės algos koeficientas nustatomas iš naujo pasikeitus pedagoginio darbo stažui ir/ar veiklos sudėtingumui, ir/ar kvalifikacinei kategorijai;</w:t>
      </w:r>
    </w:p>
    <w:p w14:paraId="3E0BA8DE">
      <w:pPr>
        <w:pStyle w:val="37"/>
        <w:numPr>
          <w:ilvl w:val="1"/>
          <w:numId w:val="1"/>
        </w:numPr>
        <w:tabs>
          <w:tab w:val="left" w:pos="1276"/>
          <w:tab w:val="left" w:pos="1418"/>
        </w:tabs>
        <w:spacing w:before="0" w:line="240" w:lineRule="auto"/>
        <w:rPr>
          <w:sz w:val="24"/>
          <w:szCs w:val="24"/>
        </w:rPr>
      </w:pPr>
      <w:r>
        <w:rPr>
          <w:rFonts w:ascii="Times New Roman" w:hAnsi="Times New Roman" w:cs="Times New Roman"/>
          <w:sz w:val="24"/>
          <w:szCs w:val="24"/>
        </w:rPr>
        <w:t xml:space="preserve">Gimnazijos specialistų (A ir B lygio) ir kvalifikuotų darbuotojų (C lygio) pareiginės algos minimalus koeficientas nustatomas, vadovaujantis DAĮ 1 priedu (ne mažesnis kaip iki 2023-12-31 mokėtas atlygis be kintamosios dalies), o maksimalūs koeficientai nustatomi pagal pareigybės lygį ir profesinio darbo patirtį (metais). </w:t>
      </w:r>
      <w:r>
        <w:rPr>
          <w:rFonts w:ascii="Times New Roman" w:hAnsi="Times New Roman" w:cs="Times New Roman"/>
          <w:color w:val="000000" w:themeColor="text1"/>
          <w:sz w:val="24"/>
          <w:szCs w:val="24"/>
          <w14:textFill>
            <w14:solidFill>
              <w14:schemeClr w14:val="tx1"/>
            </w14:solidFill>
          </w14:textFill>
        </w:rPr>
        <w:t>Darbo užmokesčio perskaičiavimas (naujas koeficientas apvalinamas iki 2 skaičių po kablelio):</w:t>
      </w:r>
    </w:p>
    <w:p w14:paraId="5F0A73C9">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ūkvedžiui;</w:t>
      </w:r>
    </w:p>
    <w:p w14:paraId="2F08DA89">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buhalterei;</w:t>
      </w:r>
    </w:p>
    <w:p w14:paraId="657B0F41">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raštvedei;</w:t>
      </w:r>
    </w:p>
    <w:p w14:paraId="1FB06316">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vyr. virėjai;</w:t>
      </w:r>
    </w:p>
    <w:p w14:paraId="4CD60BAA">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virėjai;</w:t>
      </w:r>
    </w:p>
    <w:p w14:paraId="366046DC">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vairuotojui;</w:t>
      </w:r>
    </w:p>
    <w:p w14:paraId="064067F7">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mokyklos priežiūros darbuotojui;</w:t>
      </w:r>
    </w:p>
    <w:p w14:paraId="2E2B202F">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garso technikos darbuotojas;</w:t>
      </w:r>
    </w:p>
    <w:p w14:paraId="07C6077F">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prailgintos dienos grupės specialistui;</w:t>
      </w:r>
    </w:p>
    <w:p w14:paraId="56050B59">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 xml:space="preserve">kompiuterinės technikos inžinieriui; </w:t>
      </w:r>
    </w:p>
    <w:p w14:paraId="4AA981D5">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bibliotekininkui;</w:t>
      </w:r>
    </w:p>
    <w:p w14:paraId="10478101">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mokytojo padėjėjas (nuo 2024-09-01 – mokinio padėjėjas).</w:t>
      </w:r>
    </w:p>
    <w:tbl>
      <w:tblPr>
        <w:tblStyle w:val="12"/>
        <w:tblW w:w="9657" w:type="dxa"/>
        <w:jc w:val="center"/>
        <w:tblLayout w:type="autofit"/>
        <w:tblCellMar>
          <w:top w:w="0" w:type="dxa"/>
          <w:left w:w="108" w:type="dxa"/>
          <w:bottom w:w="0" w:type="dxa"/>
          <w:right w:w="108" w:type="dxa"/>
        </w:tblCellMar>
      </w:tblPr>
      <w:tblGrid>
        <w:gridCol w:w="709"/>
        <w:gridCol w:w="3359"/>
        <w:gridCol w:w="1301"/>
        <w:gridCol w:w="4288"/>
      </w:tblGrid>
      <w:tr w14:paraId="5CCFCB40">
        <w:tblPrEx>
          <w:tblCellMar>
            <w:top w:w="0" w:type="dxa"/>
            <w:left w:w="108" w:type="dxa"/>
            <w:bottom w:w="0" w:type="dxa"/>
            <w:right w:w="108" w:type="dxa"/>
          </w:tblCellMar>
        </w:tblPrEx>
        <w:trPr>
          <w:trHeight w:val="585"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5964BBCE">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Eil. Nr.</w:t>
            </w:r>
          </w:p>
        </w:tc>
        <w:tc>
          <w:tcPr>
            <w:tcW w:w="3359" w:type="dxa"/>
            <w:tcBorders>
              <w:top w:val="single" w:color="auto" w:sz="4" w:space="0"/>
              <w:left w:val="single" w:color="auto" w:sz="4" w:space="0"/>
              <w:bottom w:val="single" w:color="auto" w:sz="4" w:space="0"/>
              <w:right w:val="single" w:color="auto" w:sz="4" w:space="0"/>
            </w:tcBorders>
            <w:shd w:val="clear" w:color="auto" w:fill="auto"/>
            <w:vAlign w:val="center"/>
          </w:tcPr>
          <w:p w14:paraId="0885B9E3">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Pareigybė</w:t>
            </w:r>
          </w:p>
        </w:tc>
        <w:tc>
          <w:tcPr>
            <w:tcW w:w="1301" w:type="dxa"/>
            <w:tcBorders>
              <w:top w:val="single" w:color="000000" w:sz="4" w:space="0"/>
              <w:left w:val="single" w:color="auto" w:sz="4" w:space="0"/>
              <w:bottom w:val="single" w:color="000000" w:sz="4" w:space="0"/>
              <w:right w:val="single" w:color="auto" w:sz="4" w:space="0"/>
            </w:tcBorders>
            <w:vAlign w:val="center"/>
          </w:tcPr>
          <w:p w14:paraId="0D38EA19">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Pareigybės lygis</w:t>
            </w:r>
          </w:p>
        </w:tc>
        <w:tc>
          <w:tcPr>
            <w:tcW w:w="4288" w:type="dxa"/>
            <w:tcBorders>
              <w:top w:val="single" w:color="000000" w:sz="4" w:space="0"/>
              <w:left w:val="single" w:color="auto" w:sz="4" w:space="0"/>
              <w:bottom w:val="single" w:color="000000" w:sz="4" w:space="0"/>
              <w:right w:val="single" w:color="000000" w:sz="4" w:space="0"/>
            </w:tcBorders>
            <w:shd w:val="clear" w:color="auto" w:fill="auto"/>
            <w:vAlign w:val="center"/>
          </w:tcPr>
          <w:p w14:paraId="5B797023">
            <w:pPr>
              <w:widowControl w:val="0"/>
              <w:spacing w:after="0" w:line="240" w:lineRule="auto"/>
              <w:jc w:val="center"/>
              <w:rPr>
                <w:rFonts w:ascii="Times New Roman" w:hAnsi="Times New Roman" w:cs="Times New Roman"/>
                <w:bCs/>
                <w:sz w:val="24"/>
                <w:szCs w:val="24"/>
                <w:lang w:eastAsia="lt-LT"/>
              </w:rPr>
            </w:pPr>
            <w:r>
              <w:rPr>
                <w:rFonts w:ascii="Times New Roman" w:hAnsi="Times New Roman" w:cs="Times New Roman"/>
                <w:bCs/>
                <w:sz w:val="24"/>
                <w:szCs w:val="24"/>
                <w:lang w:eastAsia="lt-LT"/>
              </w:rPr>
              <w:t>Biudžetinių įstaigų vadovų pareiginės algos koeficientai ir darbuotojų minimalūs pareiginės algos koeficientai</w:t>
            </w:r>
          </w:p>
        </w:tc>
      </w:tr>
      <w:tr w14:paraId="6DE65118">
        <w:tblPrEx>
          <w:tblCellMar>
            <w:top w:w="0" w:type="dxa"/>
            <w:left w:w="108" w:type="dxa"/>
            <w:bottom w:w="0" w:type="dxa"/>
            <w:right w:w="108" w:type="dxa"/>
          </w:tblCellMar>
        </w:tblPrEx>
        <w:trPr>
          <w:trHeight w:val="362" w:hRule="atLeast"/>
          <w:jc w:val="center"/>
        </w:trPr>
        <w:tc>
          <w:tcPr>
            <w:tcW w:w="709" w:type="dxa"/>
            <w:tcBorders>
              <w:top w:val="single" w:color="auto" w:sz="4" w:space="0"/>
              <w:left w:val="single" w:color="auto" w:sz="4" w:space="0"/>
              <w:bottom w:val="single" w:color="auto" w:sz="4" w:space="0"/>
              <w:right w:val="single" w:color="auto" w:sz="4" w:space="0"/>
            </w:tcBorders>
          </w:tcPr>
          <w:p w14:paraId="2AB53C9B">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1.</w:t>
            </w:r>
          </w:p>
        </w:tc>
        <w:tc>
          <w:tcPr>
            <w:tcW w:w="3359" w:type="dxa"/>
            <w:tcBorders>
              <w:top w:val="single" w:color="auto" w:sz="4" w:space="0"/>
              <w:left w:val="single" w:color="auto" w:sz="4" w:space="0"/>
              <w:bottom w:val="single" w:color="auto" w:sz="4" w:space="0"/>
              <w:right w:val="single" w:color="auto" w:sz="4" w:space="0"/>
            </w:tcBorders>
            <w:shd w:val="clear" w:color="auto" w:fill="auto"/>
          </w:tcPr>
          <w:p w14:paraId="05E2BE6F">
            <w:pPr>
              <w:widowControl w:val="0"/>
              <w:spacing w:after="0" w:line="240" w:lineRule="auto"/>
              <w:jc w:val="left"/>
              <w:rPr>
                <w:rFonts w:ascii="Times New Roman" w:hAnsi="Times New Roman" w:cs="Times New Roman"/>
                <w:sz w:val="24"/>
                <w:szCs w:val="24"/>
                <w:lang w:eastAsia="lt-LT"/>
              </w:rPr>
            </w:pPr>
            <w:r>
              <w:rPr>
                <w:rFonts w:ascii="Times New Roman" w:hAnsi="Times New Roman" w:cs="Times New Roman"/>
                <w:sz w:val="24"/>
                <w:szCs w:val="24"/>
                <w:lang w:eastAsia="lt-LT"/>
              </w:rPr>
              <w:t>Biudžetinės įstaigos vadovas</w:t>
            </w:r>
          </w:p>
        </w:tc>
        <w:tc>
          <w:tcPr>
            <w:tcW w:w="1301" w:type="dxa"/>
            <w:tcBorders>
              <w:top w:val="single" w:color="000000" w:sz="4" w:space="0"/>
              <w:left w:val="single" w:color="auto" w:sz="4" w:space="0"/>
              <w:bottom w:val="single" w:color="000000" w:sz="4" w:space="0"/>
              <w:right w:val="single" w:color="auto" w:sz="4" w:space="0"/>
            </w:tcBorders>
            <w:vAlign w:val="center"/>
          </w:tcPr>
          <w:p w14:paraId="66B05DAC">
            <w:pPr>
              <w:widowControl w:val="0"/>
              <w:spacing w:after="0" w:line="240" w:lineRule="auto"/>
              <w:jc w:val="center"/>
              <w:rPr>
                <w:rFonts w:ascii="Times New Roman" w:hAnsi="Times New Roman" w:cs="Times New Roman"/>
                <w:sz w:val="24"/>
                <w:szCs w:val="24"/>
                <w:lang w:eastAsia="lt-LT"/>
              </w:rPr>
            </w:pPr>
          </w:p>
        </w:tc>
        <w:tc>
          <w:tcPr>
            <w:tcW w:w="4288" w:type="dxa"/>
            <w:tcBorders>
              <w:top w:val="nil"/>
              <w:left w:val="single" w:color="auto" w:sz="4" w:space="0"/>
              <w:bottom w:val="single" w:color="000000" w:sz="4" w:space="0"/>
              <w:right w:val="single" w:color="000000" w:sz="4" w:space="0"/>
            </w:tcBorders>
            <w:shd w:val="clear" w:color="auto" w:fill="auto"/>
            <w:noWrap/>
            <w:vAlign w:val="center"/>
          </w:tcPr>
          <w:p w14:paraId="170675EA">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1,29–3,98</w:t>
            </w:r>
          </w:p>
        </w:tc>
      </w:tr>
      <w:tr w14:paraId="46102B94">
        <w:tblPrEx>
          <w:tblCellMar>
            <w:top w:w="0" w:type="dxa"/>
            <w:left w:w="108" w:type="dxa"/>
            <w:bottom w:w="0" w:type="dxa"/>
            <w:right w:w="108" w:type="dxa"/>
          </w:tblCellMar>
        </w:tblPrEx>
        <w:trPr>
          <w:trHeight w:val="362" w:hRule="atLeast"/>
          <w:jc w:val="center"/>
        </w:trPr>
        <w:tc>
          <w:tcPr>
            <w:tcW w:w="709" w:type="dxa"/>
            <w:tcBorders>
              <w:top w:val="single" w:color="auto" w:sz="4" w:space="0"/>
              <w:left w:val="single" w:color="auto" w:sz="4" w:space="0"/>
              <w:bottom w:val="single" w:color="auto" w:sz="4" w:space="0"/>
              <w:right w:val="single" w:color="auto" w:sz="4" w:space="0"/>
            </w:tcBorders>
          </w:tcPr>
          <w:p w14:paraId="37C203AD">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2.</w:t>
            </w:r>
          </w:p>
        </w:tc>
        <w:tc>
          <w:tcPr>
            <w:tcW w:w="3359" w:type="dxa"/>
            <w:tcBorders>
              <w:top w:val="single" w:color="auto" w:sz="4" w:space="0"/>
              <w:left w:val="single" w:color="auto" w:sz="4" w:space="0"/>
              <w:bottom w:val="single" w:color="auto" w:sz="4" w:space="0"/>
              <w:right w:val="single" w:color="auto" w:sz="4" w:space="0"/>
            </w:tcBorders>
            <w:shd w:val="clear" w:color="auto" w:fill="auto"/>
          </w:tcPr>
          <w:p w14:paraId="2913C45D">
            <w:pPr>
              <w:widowControl w:val="0"/>
              <w:spacing w:after="0" w:line="240" w:lineRule="auto"/>
              <w:jc w:val="left"/>
              <w:rPr>
                <w:rFonts w:ascii="Times New Roman" w:hAnsi="Times New Roman" w:cs="Times New Roman"/>
                <w:sz w:val="24"/>
                <w:szCs w:val="24"/>
                <w:lang w:eastAsia="lt-LT"/>
              </w:rPr>
            </w:pPr>
            <w:r>
              <w:rPr>
                <w:rFonts w:ascii="Times New Roman" w:hAnsi="Times New Roman" w:cs="Times New Roman"/>
                <w:sz w:val="24"/>
                <w:szCs w:val="24"/>
                <w:lang w:eastAsia="lt-LT"/>
              </w:rPr>
              <w:t>Biudžetinės įstaigos vadovo pavaduotojas</w:t>
            </w:r>
          </w:p>
        </w:tc>
        <w:tc>
          <w:tcPr>
            <w:tcW w:w="1301" w:type="dxa"/>
            <w:tcBorders>
              <w:top w:val="single" w:color="000000" w:sz="4" w:space="0"/>
              <w:left w:val="single" w:color="auto" w:sz="4" w:space="0"/>
              <w:bottom w:val="single" w:color="000000" w:sz="4" w:space="0"/>
              <w:right w:val="single" w:color="auto" w:sz="4" w:space="0"/>
            </w:tcBorders>
            <w:vAlign w:val="center"/>
          </w:tcPr>
          <w:p w14:paraId="7660E652">
            <w:pPr>
              <w:widowControl w:val="0"/>
              <w:spacing w:after="0" w:line="240" w:lineRule="auto"/>
              <w:jc w:val="center"/>
              <w:rPr>
                <w:rFonts w:ascii="Times New Roman" w:hAnsi="Times New Roman" w:cs="Times New Roman"/>
                <w:sz w:val="24"/>
                <w:szCs w:val="24"/>
                <w:lang w:eastAsia="lt-LT"/>
              </w:rPr>
            </w:pPr>
          </w:p>
        </w:tc>
        <w:tc>
          <w:tcPr>
            <w:tcW w:w="4288" w:type="dxa"/>
            <w:tcBorders>
              <w:top w:val="nil"/>
              <w:left w:val="single" w:color="auto" w:sz="4" w:space="0"/>
              <w:bottom w:val="single" w:color="000000" w:sz="4" w:space="0"/>
              <w:right w:val="single" w:color="000000" w:sz="4" w:space="0"/>
            </w:tcBorders>
            <w:shd w:val="clear" w:color="auto" w:fill="auto"/>
            <w:noWrap/>
            <w:vAlign w:val="center"/>
          </w:tcPr>
          <w:p w14:paraId="7E70BD04">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1,04-1,87</w:t>
            </w:r>
          </w:p>
        </w:tc>
      </w:tr>
      <w:tr w14:paraId="69B23680">
        <w:tblPrEx>
          <w:tblCellMar>
            <w:top w:w="0" w:type="dxa"/>
            <w:left w:w="108" w:type="dxa"/>
            <w:bottom w:w="0" w:type="dxa"/>
            <w:right w:w="108" w:type="dxa"/>
          </w:tblCellMar>
        </w:tblPrEx>
        <w:trPr>
          <w:trHeight w:val="624" w:hRule="atLeast"/>
          <w:jc w:val="center"/>
        </w:trPr>
        <w:tc>
          <w:tcPr>
            <w:tcW w:w="709" w:type="dxa"/>
            <w:vMerge w:val="restart"/>
            <w:tcBorders>
              <w:top w:val="single" w:color="auto" w:sz="4" w:space="0"/>
              <w:left w:val="single" w:color="auto" w:sz="4" w:space="0"/>
              <w:bottom w:val="single" w:color="auto" w:sz="4" w:space="0"/>
              <w:right w:val="single" w:color="auto" w:sz="4" w:space="0"/>
            </w:tcBorders>
          </w:tcPr>
          <w:p w14:paraId="7564A09C">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3.</w:t>
            </w:r>
          </w:p>
        </w:tc>
        <w:tc>
          <w:tcPr>
            <w:tcW w:w="3359" w:type="dxa"/>
            <w:vMerge w:val="restart"/>
            <w:tcBorders>
              <w:top w:val="single" w:color="auto" w:sz="4" w:space="0"/>
              <w:left w:val="single" w:color="auto" w:sz="4" w:space="0"/>
              <w:bottom w:val="single" w:color="auto" w:sz="4" w:space="0"/>
              <w:right w:val="single" w:color="auto" w:sz="4" w:space="0"/>
            </w:tcBorders>
            <w:shd w:val="clear" w:color="auto" w:fill="auto"/>
          </w:tcPr>
          <w:p w14:paraId="30726454">
            <w:pPr>
              <w:widowControl w:val="0"/>
              <w:spacing w:after="0" w:line="240" w:lineRule="auto"/>
              <w:jc w:val="left"/>
              <w:rPr>
                <w:rFonts w:ascii="Times New Roman" w:hAnsi="Times New Roman" w:cs="Times New Roman"/>
                <w:sz w:val="24"/>
                <w:szCs w:val="24"/>
                <w:lang w:eastAsia="lt-LT"/>
              </w:rPr>
            </w:pPr>
            <w:r>
              <w:rPr>
                <w:rFonts w:ascii="Times New Roman" w:hAnsi="Times New Roman" w:cs="Times New Roman"/>
                <w:sz w:val="24"/>
                <w:szCs w:val="24"/>
                <w:lang w:eastAsia="lt-LT"/>
              </w:rPr>
              <w:t xml:space="preserve">Struktūrinio padalinio vadovas (ar </w:t>
            </w:r>
            <w:r>
              <w:rPr>
                <w:rFonts w:ascii="Times New Roman" w:hAnsi="Times New Roman" w:cs="Times New Roman"/>
                <w:sz w:val="24"/>
                <w:szCs w:val="24"/>
              </w:rPr>
              <w:t>kiti specialistai, turintys pavaldžių darbuotojų ar prilyginti vadovaujantiems darbuotojams)</w:t>
            </w:r>
          </w:p>
        </w:tc>
        <w:tc>
          <w:tcPr>
            <w:tcW w:w="1301" w:type="dxa"/>
            <w:tcBorders>
              <w:top w:val="single" w:color="000000" w:sz="4" w:space="0"/>
              <w:left w:val="single" w:color="auto" w:sz="4" w:space="0"/>
              <w:bottom w:val="single" w:color="000000" w:sz="4" w:space="0"/>
              <w:right w:val="single" w:color="auto" w:sz="4" w:space="0"/>
            </w:tcBorders>
            <w:vAlign w:val="center"/>
          </w:tcPr>
          <w:p w14:paraId="2F7FB479">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A</w:t>
            </w:r>
          </w:p>
        </w:tc>
        <w:tc>
          <w:tcPr>
            <w:tcW w:w="4288" w:type="dxa"/>
            <w:tcBorders>
              <w:top w:val="nil"/>
              <w:left w:val="single" w:color="auto" w:sz="4" w:space="0"/>
              <w:bottom w:val="single" w:color="000000" w:sz="4" w:space="0"/>
              <w:right w:val="single" w:color="000000" w:sz="4" w:space="0"/>
            </w:tcBorders>
            <w:shd w:val="clear" w:color="auto" w:fill="auto"/>
            <w:noWrap/>
            <w:vAlign w:val="center"/>
          </w:tcPr>
          <w:p w14:paraId="513B4426">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0,88-1,62</w:t>
            </w:r>
          </w:p>
        </w:tc>
      </w:tr>
      <w:tr w14:paraId="32CE9411">
        <w:tblPrEx>
          <w:tblCellMar>
            <w:top w:w="0" w:type="dxa"/>
            <w:left w:w="108" w:type="dxa"/>
            <w:bottom w:w="0" w:type="dxa"/>
            <w:right w:w="108" w:type="dxa"/>
          </w:tblCellMar>
        </w:tblPrEx>
        <w:trPr>
          <w:trHeight w:val="627" w:hRule="atLeast"/>
          <w:jc w:val="center"/>
        </w:trPr>
        <w:tc>
          <w:tcPr>
            <w:tcW w:w="709" w:type="dxa"/>
            <w:vMerge w:val="continue"/>
            <w:tcBorders>
              <w:top w:val="single" w:color="auto" w:sz="4" w:space="0"/>
              <w:left w:val="single" w:color="auto" w:sz="4" w:space="0"/>
              <w:bottom w:val="single" w:color="auto" w:sz="4" w:space="0"/>
              <w:right w:val="single" w:color="auto" w:sz="4" w:space="0"/>
            </w:tcBorders>
          </w:tcPr>
          <w:p w14:paraId="74E1BE63">
            <w:pPr>
              <w:widowControl w:val="0"/>
              <w:spacing w:after="0" w:line="240" w:lineRule="auto"/>
              <w:jc w:val="center"/>
              <w:rPr>
                <w:rFonts w:ascii="Times New Roman" w:hAnsi="Times New Roman" w:cs="Times New Roman"/>
                <w:sz w:val="24"/>
                <w:szCs w:val="24"/>
                <w:lang w:eastAsia="lt-LT"/>
              </w:rPr>
            </w:pPr>
          </w:p>
        </w:tc>
        <w:tc>
          <w:tcPr>
            <w:tcW w:w="3359" w:type="dxa"/>
            <w:vMerge w:val="continue"/>
            <w:tcBorders>
              <w:top w:val="single" w:color="auto" w:sz="4" w:space="0"/>
              <w:left w:val="single" w:color="auto" w:sz="4" w:space="0"/>
              <w:bottom w:val="single" w:color="auto" w:sz="4" w:space="0"/>
              <w:right w:val="single" w:color="auto" w:sz="4" w:space="0"/>
            </w:tcBorders>
            <w:shd w:val="clear" w:color="auto" w:fill="auto"/>
          </w:tcPr>
          <w:p w14:paraId="1351DFC4">
            <w:pPr>
              <w:widowControl w:val="0"/>
              <w:spacing w:after="0" w:line="240" w:lineRule="auto"/>
              <w:jc w:val="left"/>
              <w:rPr>
                <w:rFonts w:ascii="Times New Roman" w:hAnsi="Times New Roman" w:cs="Times New Roman"/>
                <w:sz w:val="24"/>
                <w:szCs w:val="24"/>
                <w:lang w:eastAsia="lt-LT"/>
              </w:rPr>
            </w:pPr>
          </w:p>
        </w:tc>
        <w:tc>
          <w:tcPr>
            <w:tcW w:w="1301" w:type="dxa"/>
            <w:tcBorders>
              <w:top w:val="single" w:color="000000" w:sz="4" w:space="0"/>
              <w:left w:val="single" w:color="auto" w:sz="4" w:space="0"/>
              <w:bottom w:val="single" w:color="000000" w:sz="4" w:space="0"/>
              <w:right w:val="single" w:color="auto" w:sz="4" w:space="0"/>
            </w:tcBorders>
            <w:vAlign w:val="center"/>
          </w:tcPr>
          <w:p w14:paraId="47022929">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B</w:t>
            </w:r>
          </w:p>
        </w:tc>
        <w:tc>
          <w:tcPr>
            <w:tcW w:w="4288" w:type="dxa"/>
            <w:tcBorders>
              <w:top w:val="nil"/>
              <w:left w:val="single" w:color="auto" w:sz="4" w:space="0"/>
              <w:bottom w:val="single" w:color="000000" w:sz="4" w:space="0"/>
              <w:right w:val="single" w:color="000000" w:sz="4" w:space="0"/>
            </w:tcBorders>
            <w:shd w:val="clear" w:color="auto" w:fill="auto"/>
            <w:noWrap/>
            <w:vAlign w:val="center"/>
          </w:tcPr>
          <w:p w14:paraId="38F1E442">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0,83-1,56</w:t>
            </w:r>
          </w:p>
        </w:tc>
      </w:tr>
      <w:tr w14:paraId="42B846B0">
        <w:tblPrEx>
          <w:tblCellMar>
            <w:top w:w="0" w:type="dxa"/>
            <w:left w:w="108" w:type="dxa"/>
            <w:bottom w:w="0" w:type="dxa"/>
            <w:right w:w="108" w:type="dxa"/>
          </w:tblCellMar>
        </w:tblPrEx>
        <w:trPr>
          <w:trHeight w:val="360" w:hRule="atLeast"/>
          <w:jc w:val="center"/>
        </w:trPr>
        <w:tc>
          <w:tcPr>
            <w:tcW w:w="709" w:type="dxa"/>
            <w:vMerge w:val="restart"/>
            <w:tcBorders>
              <w:top w:val="single" w:color="auto" w:sz="4" w:space="0"/>
              <w:left w:val="single" w:color="auto" w:sz="4" w:space="0"/>
              <w:bottom w:val="single" w:color="auto" w:sz="4" w:space="0"/>
              <w:right w:val="single" w:color="auto" w:sz="4" w:space="0"/>
            </w:tcBorders>
          </w:tcPr>
          <w:p w14:paraId="3A130CB8">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4.</w:t>
            </w:r>
          </w:p>
        </w:tc>
        <w:tc>
          <w:tcPr>
            <w:tcW w:w="3359" w:type="dxa"/>
            <w:vMerge w:val="restart"/>
            <w:tcBorders>
              <w:top w:val="single" w:color="auto" w:sz="4" w:space="0"/>
              <w:left w:val="single" w:color="auto" w:sz="4" w:space="0"/>
              <w:bottom w:val="single" w:color="auto" w:sz="4" w:space="0"/>
              <w:right w:val="single" w:color="auto" w:sz="4" w:space="0"/>
            </w:tcBorders>
            <w:shd w:val="clear" w:color="auto" w:fill="auto"/>
          </w:tcPr>
          <w:p w14:paraId="07DBBFB2">
            <w:pPr>
              <w:widowControl w:val="0"/>
              <w:spacing w:after="0" w:line="240" w:lineRule="auto"/>
              <w:jc w:val="left"/>
              <w:rPr>
                <w:rFonts w:ascii="Times New Roman" w:hAnsi="Times New Roman" w:cs="Times New Roman"/>
                <w:sz w:val="24"/>
                <w:szCs w:val="24"/>
                <w:lang w:eastAsia="lt-LT"/>
              </w:rPr>
            </w:pPr>
            <w:r>
              <w:rPr>
                <w:rFonts w:ascii="Times New Roman" w:hAnsi="Times New Roman" w:cs="Times New Roman"/>
                <w:sz w:val="24"/>
                <w:szCs w:val="24"/>
                <w:lang w:eastAsia="lt-LT"/>
              </w:rPr>
              <w:t>Struktūrinio padalinio vadovo pavaduotojas</w:t>
            </w:r>
          </w:p>
        </w:tc>
        <w:tc>
          <w:tcPr>
            <w:tcW w:w="1301" w:type="dxa"/>
            <w:tcBorders>
              <w:top w:val="single" w:color="000000" w:sz="4" w:space="0"/>
              <w:left w:val="single" w:color="auto" w:sz="4" w:space="0"/>
              <w:bottom w:val="single" w:color="000000" w:sz="4" w:space="0"/>
              <w:right w:val="single" w:color="auto" w:sz="4" w:space="0"/>
            </w:tcBorders>
            <w:vAlign w:val="center"/>
          </w:tcPr>
          <w:p w14:paraId="1455C2C5">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A</w:t>
            </w:r>
          </w:p>
        </w:tc>
        <w:tc>
          <w:tcPr>
            <w:tcW w:w="4288" w:type="dxa"/>
            <w:tcBorders>
              <w:top w:val="nil"/>
              <w:left w:val="single" w:color="auto" w:sz="4" w:space="0"/>
              <w:bottom w:val="single" w:color="000000" w:sz="4" w:space="0"/>
              <w:right w:val="single" w:color="000000" w:sz="4" w:space="0"/>
            </w:tcBorders>
            <w:shd w:val="clear" w:color="auto" w:fill="auto"/>
            <w:noWrap/>
            <w:vAlign w:val="center"/>
          </w:tcPr>
          <w:p w14:paraId="391DAE66">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0,83-1,6</w:t>
            </w:r>
          </w:p>
        </w:tc>
      </w:tr>
      <w:tr w14:paraId="5AE5CA9D">
        <w:tblPrEx>
          <w:tblCellMar>
            <w:top w:w="0" w:type="dxa"/>
            <w:left w:w="108" w:type="dxa"/>
            <w:bottom w:w="0" w:type="dxa"/>
            <w:right w:w="108" w:type="dxa"/>
          </w:tblCellMar>
        </w:tblPrEx>
        <w:trPr>
          <w:trHeight w:val="368" w:hRule="atLeast"/>
          <w:jc w:val="center"/>
        </w:trPr>
        <w:tc>
          <w:tcPr>
            <w:tcW w:w="709" w:type="dxa"/>
            <w:vMerge w:val="continue"/>
            <w:tcBorders>
              <w:top w:val="single" w:color="auto" w:sz="4" w:space="0"/>
              <w:left w:val="single" w:color="auto" w:sz="4" w:space="0"/>
              <w:bottom w:val="single" w:color="auto" w:sz="4" w:space="0"/>
              <w:right w:val="single" w:color="auto" w:sz="4" w:space="0"/>
            </w:tcBorders>
          </w:tcPr>
          <w:p w14:paraId="327C9A4A">
            <w:pPr>
              <w:widowControl w:val="0"/>
              <w:spacing w:after="0" w:line="240" w:lineRule="auto"/>
              <w:jc w:val="center"/>
              <w:rPr>
                <w:rFonts w:ascii="Times New Roman" w:hAnsi="Times New Roman" w:cs="Times New Roman"/>
                <w:sz w:val="24"/>
                <w:szCs w:val="24"/>
                <w:lang w:eastAsia="lt-LT"/>
              </w:rPr>
            </w:pPr>
          </w:p>
        </w:tc>
        <w:tc>
          <w:tcPr>
            <w:tcW w:w="3359" w:type="dxa"/>
            <w:vMerge w:val="continue"/>
            <w:tcBorders>
              <w:top w:val="single" w:color="auto" w:sz="4" w:space="0"/>
              <w:left w:val="single" w:color="auto" w:sz="4" w:space="0"/>
              <w:bottom w:val="single" w:color="auto" w:sz="4" w:space="0"/>
              <w:right w:val="single" w:color="auto" w:sz="4" w:space="0"/>
            </w:tcBorders>
            <w:shd w:val="clear" w:color="auto" w:fill="auto"/>
          </w:tcPr>
          <w:p w14:paraId="7137E63E">
            <w:pPr>
              <w:widowControl w:val="0"/>
              <w:spacing w:after="0" w:line="240" w:lineRule="auto"/>
              <w:jc w:val="left"/>
              <w:rPr>
                <w:rFonts w:ascii="Times New Roman" w:hAnsi="Times New Roman" w:cs="Times New Roman"/>
                <w:sz w:val="24"/>
                <w:szCs w:val="24"/>
                <w:lang w:eastAsia="lt-LT"/>
              </w:rPr>
            </w:pPr>
          </w:p>
        </w:tc>
        <w:tc>
          <w:tcPr>
            <w:tcW w:w="1301" w:type="dxa"/>
            <w:tcBorders>
              <w:top w:val="single" w:color="000000" w:sz="4" w:space="0"/>
              <w:left w:val="single" w:color="auto" w:sz="4" w:space="0"/>
              <w:bottom w:val="single" w:color="000000" w:sz="4" w:space="0"/>
              <w:right w:val="single" w:color="auto" w:sz="4" w:space="0"/>
            </w:tcBorders>
            <w:vAlign w:val="center"/>
          </w:tcPr>
          <w:p w14:paraId="0888BECE">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B</w:t>
            </w:r>
          </w:p>
        </w:tc>
        <w:tc>
          <w:tcPr>
            <w:tcW w:w="4288" w:type="dxa"/>
            <w:tcBorders>
              <w:top w:val="nil"/>
              <w:left w:val="single" w:color="auto" w:sz="4" w:space="0"/>
              <w:bottom w:val="single" w:color="000000" w:sz="4" w:space="0"/>
              <w:right w:val="single" w:color="000000" w:sz="4" w:space="0"/>
            </w:tcBorders>
            <w:shd w:val="clear" w:color="auto" w:fill="auto"/>
            <w:noWrap/>
            <w:vAlign w:val="center"/>
          </w:tcPr>
          <w:p w14:paraId="010C9611">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0,72-1,3</w:t>
            </w:r>
          </w:p>
        </w:tc>
      </w:tr>
      <w:tr w14:paraId="6F8C5285">
        <w:tblPrEx>
          <w:tblCellMar>
            <w:top w:w="0" w:type="dxa"/>
            <w:left w:w="108" w:type="dxa"/>
            <w:bottom w:w="0" w:type="dxa"/>
            <w:right w:w="108" w:type="dxa"/>
          </w:tblCellMar>
        </w:tblPrEx>
        <w:trPr>
          <w:trHeight w:val="362" w:hRule="atLeast"/>
          <w:jc w:val="center"/>
        </w:trPr>
        <w:tc>
          <w:tcPr>
            <w:tcW w:w="709" w:type="dxa"/>
            <w:vMerge w:val="restart"/>
            <w:tcBorders>
              <w:top w:val="single" w:color="auto" w:sz="4" w:space="0"/>
              <w:left w:val="single" w:color="auto" w:sz="4" w:space="0"/>
              <w:bottom w:val="single" w:color="auto" w:sz="4" w:space="0"/>
              <w:right w:val="single" w:color="auto" w:sz="4" w:space="0"/>
            </w:tcBorders>
          </w:tcPr>
          <w:p w14:paraId="3C9ACAF8">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5.</w:t>
            </w:r>
          </w:p>
        </w:tc>
        <w:tc>
          <w:tcPr>
            <w:tcW w:w="3359" w:type="dxa"/>
            <w:vMerge w:val="restart"/>
            <w:tcBorders>
              <w:top w:val="single" w:color="auto" w:sz="4" w:space="0"/>
              <w:left w:val="single" w:color="auto" w:sz="4" w:space="0"/>
              <w:bottom w:val="single" w:color="auto" w:sz="4" w:space="0"/>
              <w:right w:val="single" w:color="auto" w:sz="4" w:space="0"/>
            </w:tcBorders>
            <w:shd w:val="clear" w:color="auto" w:fill="auto"/>
          </w:tcPr>
          <w:p w14:paraId="19695A8C">
            <w:pPr>
              <w:widowControl w:val="0"/>
              <w:spacing w:after="0" w:line="240" w:lineRule="auto"/>
              <w:jc w:val="left"/>
              <w:rPr>
                <w:rFonts w:ascii="Times New Roman" w:hAnsi="Times New Roman" w:cs="Times New Roman"/>
                <w:sz w:val="24"/>
                <w:szCs w:val="24"/>
                <w:lang w:eastAsia="lt-LT"/>
              </w:rPr>
            </w:pPr>
            <w:r>
              <w:rPr>
                <w:rFonts w:ascii="Times New Roman" w:hAnsi="Times New Roman" w:cs="Times New Roman"/>
                <w:sz w:val="24"/>
                <w:szCs w:val="24"/>
                <w:lang w:eastAsia="lt-LT"/>
              </w:rPr>
              <w:t>Specialistas</w:t>
            </w:r>
          </w:p>
        </w:tc>
        <w:tc>
          <w:tcPr>
            <w:tcW w:w="1301" w:type="dxa"/>
            <w:tcBorders>
              <w:top w:val="single" w:color="000000" w:sz="4" w:space="0"/>
              <w:left w:val="single" w:color="auto" w:sz="4" w:space="0"/>
              <w:bottom w:val="single" w:color="000000" w:sz="4" w:space="0"/>
              <w:right w:val="single" w:color="auto" w:sz="4" w:space="0"/>
            </w:tcBorders>
            <w:vAlign w:val="center"/>
          </w:tcPr>
          <w:p w14:paraId="79C36726">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A</w:t>
            </w:r>
          </w:p>
        </w:tc>
        <w:tc>
          <w:tcPr>
            <w:tcW w:w="4288" w:type="dxa"/>
            <w:tcBorders>
              <w:top w:val="nil"/>
              <w:left w:val="single" w:color="auto" w:sz="4" w:space="0"/>
              <w:bottom w:val="single" w:color="000000" w:sz="4" w:space="0"/>
              <w:right w:val="single" w:color="000000" w:sz="4" w:space="0"/>
            </w:tcBorders>
            <w:shd w:val="clear" w:color="auto" w:fill="auto"/>
            <w:noWrap/>
            <w:vAlign w:val="center"/>
          </w:tcPr>
          <w:p w14:paraId="58592925">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0,7-1,45</w:t>
            </w:r>
          </w:p>
        </w:tc>
      </w:tr>
      <w:tr w14:paraId="77F0C342">
        <w:tblPrEx>
          <w:tblCellMar>
            <w:top w:w="0" w:type="dxa"/>
            <w:left w:w="108" w:type="dxa"/>
            <w:bottom w:w="0" w:type="dxa"/>
            <w:right w:w="108" w:type="dxa"/>
          </w:tblCellMar>
        </w:tblPrEx>
        <w:trPr>
          <w:trHeight w:val="359" w:hRule="atLeast"/>
          <w:jc w:val="center"/>
        </w:trPr>
        <w:tc>
          <w:tcPr>
            <w:tcW w:w="709" w:type="dxa"/>
            <w:vMerge w:val="continue"/>
            <w:tcBorders>
              <w:top w:val="single" w:color="auto" w:sz="4" w:space="0"/>
              <w:left w:val="single" w:color="auto" w:sz="4" w:space="0"/>
              <w:bottom w:val="single" w:color="auto" w:sz="4" w:space="0"/>
              <w:right w:val="single" w:color="auto" w:sz="4" w:space="0"/>
            </w:tcBorders>
          </w:tcPr>
          <w:p w14:paraId="7546AF99">
            <w:pPr>
              <w:widowControl w:val="0"/>
              <w:spacing w:after="0" w:line="240" w:lineRule="auto"/>
              <w:jc w:val="center"/>
              <w:rPr>
                <w:rFonts w:ascii="Times New Roman" w:hAnsi="Times New Roman" w:cs="Times New Roman"/>
                <w:sz w:val="24"/>
                <w:szCs w:val="24"/>
                <w:lang w:eastAsia="lt-LT"/>
              </w:rPr>
            </w:pPr>
          </w:p>
        </w:tc>
        <w:tc>
          <w:tcPr>
            <w:tcW w:w="3359" w:type="dxa"/>
            <w:vMerge w:val="continue"/>
            <w:tcBorders>
              <w:top w:val="single" w:color="auto" w:sz="4" w:space="0"/>
              <w:left w:val="single" w:color="auto" w:sz="4" w:space="0"/>
              <w:bottom w:val="single" w:color="auto" w:sz="4" w:space="0"/>
              <w:right w:val="single" w:color="auto" w:sz="4" w:space="0"/>
            </w:tcBorders>
            <w:shd w:val="clear" w:color="auto" w:fill="auto"/>
          </w:tcPr>
          <w:p w14:paraId="33CB8761">
            <w:pPr>
              <w:widowControl w:val="0"/>
              <w:spacing w:after="0" w:line="240" w:lineRule="auto"/>
              <w:jc w:val="left"/>
              <w:rPr>
                <w:rFonts w:ascii="Times New Roman" w:hAnsi="Times New Roman" w:cs="Times New Roman"/>
                <w:sz w:val="24"/>
                <w:szCs w:val="24"/>
                <w:lang w:eastAsia="lt-LT"/>
              </w:rPr>
            </w:pPr>
          </w:p>
        </w:tc>
        <w:tc>
          <w:tcPr>
            <w:tcW w:w="1301" w:type="dxa"/>
            <w:tcBorders>
              <w:top w:val="single" w:color="000000" w:sz="4" w:space="0"/>
              <w:left w:val="single" w:color="auto" w:sz="4" w:space="0"/>
              <w:right w:val="single" w:color="auto" w:sz="4" w:space="0"/>
            </w:tcBorders>
            <w:vAlign w:val="center"/>
          </w:tcPr>
          <w:p w14:paraId="22156563">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B</w:t>
            </w:r>
          </w:p>
        </w:tc>
        <w:tc>
          <w:tcPr>
            <w:tcW w:w="4288" w:type="dxa"/>
            <w:tcBorders>
              <w:top w:val="nil"/>
              <w:left w:val="single" w:color="auto" w:sz="4" w:space="0"/>
              <w:right w:val="single" w:color="000000" w:sz="4" w:space="0"/>
            </w:tcBorders>
            <w:shd w:val="clear" w:color="auto" w:fill="auto"/>
            <w:noWrap/>
            <w:vAlign w:val="center"/>
          </w:tcPr>
          <w:p w14:paraId="29DF55F1">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0,67-1,14</w:t>
            </w:r>
          </w:p>
        </w:tc>
      </w:tr>
      <w:tr w14:paraId="7D9005F7">
        <w:tblPrEx>
          <w:tblCellMar>
            <w:top w:w="0" w:type="dxa"/>
            <w:left w:w="108" w:type="dxa"/>
            <w:bottom w:w="0" w:type="dxa"/>
            <w:right w:w="108" w:type="dxa"/>
          </w:tblCellMar>
        </w:tblPrEx>
        <w:trPr>
          <w:trHeight w:val="306" w:hRule="atLeast"/>
          <w:jc w:val="center"/>
        </w:trPr>
        <w:tc>
          <w:tcPr>
            <w:tcW w:w="709" w:type="dxa"/>
            <w:tcBorders>
              <w:top w:val="single" w:color="auto" w:sz="4" w:space="0"/>
              <w:left w:val="single" w:color="000000" w:sz="4" w:space="0"/>
              <w:bottom w:val="single" w:color="auto" w:sz="4" w:space="0"/>
              <w:right w:val="single" w:color="000000" w:sz="4" w:space="0"/>
            </w:tcBorders>
          </w:tcPr>
          <w:p w14:paraId="6A7FAA78">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6.</w:t>
            </w:r>
          </w:p>
        </w:tc>
        <w:tc>
          <w:tcPr>
            <w:tcW w:w="3359" w:type="dxa"/>
            <w:tcBorders>
              <w:top w:val="single" w:color="auto" w:sz="4" w:space="0"/>
              <w:left w:val="single" w:color="000000" w:sz="4" w:space="0"/>
              <w:bottom w:val="single" w:color="auto" w:sz="4" w:space="0"/>
              <w:right w:val="single" w:color="000000" w:sz="4" w:space="0"/>
            </w:tcBorders>
            <w:shd w:val="clear" w:color="auto" w:fill="auto"/>
          </w:tcPr>
          <w:p w14:paraId="3EBBA239">
            <w:pPr>
              <w:widowControl w:val="0"/>
              <w:spacing w:after="0" w:line="240" w:lineRule="auto"/>
              <w:jc w:val="left"/>
              <w:rPr>
                <w:rFonts w:ascii="Times New Roman" w:hAnsi="Times New Roman" w:cs="Times New Roman"/>
                <w:sz w:val="24"/>
                <w:szCs w:val="24"/>
                <w:lang w:eastAsia="lt-LT"/>
              </w:rPr>
            </w:pPr>
            <w:r>
              <w:rPr>
                <w:rFonts w:ascii="Times New Roman" w:hAnsi="Times New Roman" w:cs="Times New Roman"/>
                <w:sz w:val="24"/>
                <w:szCs w:val="24"/>
                <w:lang w:eastAsia="lt-LT"/>
              </w:rPr>
              <w:t>Kvalifikuotas darbuotojas</w:t>
            </w:r>
          </w:p>
        </w:tc>
        <w:tc>
          <w:tcPr>
            <w:tcW w:w="1301" w:type="dxa"/>
            <w:tcBorders>
              <w:top w:val="single" w:color="000000" w:sz="4" w:space="0"/>
              <w:left w:val="nil"/>
              <w:bottom w:val="single" w:color="auto" w:sz="4" w:space="0"/>
              <w:right w:val="single" w:color="auto" w:sz="4" w:space="0"/>
            </w:tcBorders>
            <w:vAlign w:val="center"/>
          </w:tcPr>
          <w:p w14:paraId="3F4B3C60">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C</w:t>
            </w:r>
          </w:p>
        </w:tc>
        <w:tc>
          <w:tcPr>
            <w:tcW w:w="4288" w:type="dxa"/>
            <w:tcBorders>
              <w:top w:val="single" w:color="000000" w:sz="4" w:space="0"/>
              <w:left w:val="single" w:color="auto" w:sz="4" w:space="0"/>
              <w:bottom w:val="single" w:color="auto" w:sz="4" w:space="0"/>
              <w:right w:val="single" w:color="000000" w:sz="4" w:space="0"/>
            </w:tcBorders>
            <w:shd w:val="clear" w:color="auto" w:fill="auto"/>
            <w:noWrap/>
            <w:vAlign w:val="center"/>
          </w:tcPr>
          <w:p w14:paraId="4457F648">
            <w:pPr>
              <w:widowControl w:val="0"/>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0,64-0,9</w:t>
            </w:r>
          </w:p>
        </w:tc>
      </w:tr>
    </w:tbl>
    <w:p w14:paraId="52B6D6CE">
      <w:pPr>
        <w:pStyle w:val="37"/>
        <w:shd w:val="clear" w:color="auto" w:fill="auto"/>
        <w:tabs>
          <w:tab w:val="left" w:pos="1276"/>
          <w:tab w:val="left" w:pos="1701"/>
        </w:tabs>
        <w:spacing w:before="0" w:line="240" w:lineRule="auto"/>
        <w:ind w:left="851"/>
        <w:rPr>
          <w:rFonts w:ascii="Times New Roman" w:hAnsi="Times New Roman" w:cs="Times New Roman"/>
          <w:sz w:val="24"/>
          <w:szCs w:val="24"/>
        </w:rPr>
      </w:pPr>
    </w:p>
    <w:p w14:paraId="270BE92F">
      <w:pPr>
        <w:pStyle w:val="37"/>
        <w:numPr>
          <w:ilvl w:val="1"/>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Pareiginė alga minimalios mėnesinės algos dydžio nustatoma darbininkams (D lygis):</w:t>
      </w:r>
    </w:p>
    <w:p w14:paraId="4021622E">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valytojui;</w:t>
      </w:r>
    </w:p>
    <w:p w14:paraId="5BC046CA">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kiemsargiui;</w:t>
      </w:r>
    </w:p>
    <w:p w14:paraId="152269A2">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budėtojui;</w:t>
      </w:r>
    </w:p>
    <w:p w14:paraId="4B530982">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laborantui;</w:t>
      </w:r>
    </w:p>
    <w:p w14:paraId="7A68A98B">
      <w:pPr>
        <w:pStyle w:val="37"/>
        <w:numPr>
          <w:ilvl w:val="2"/>
          <w:numId w:val="1"/>
        </w:numPr>
        <w:shd w:val="clear" w:color="auto" w:fill="auto"/>
        <w:tabs>
          <w:tab w:val="left" w:pos="1276"/>
          <w:tab w:val="left" w:pos="1701"/>
        </w:tabs>
        <w:spacing w:before="0" w:line="240" w:lineRule="auto"/>
        <w:rPr>
          <w:rFonts w:ascii="Times New Roman" w:hAnsi="Times New Roman" w:cs="Times New Roman"/>
          <w:sz w:val="24"/>
          <w:szCs w:val="24"/>
        </w:rPr>
      </w:pPr>
      <w:r>
        <w:rPr>
          <w:rFonts w:ascii="Times New Roman" w:hAnsi="Times New Roman" w:cs="Times New Roman"/>
          <w:sz w:val="24"/>
          <w:szCs w:val="24"/>
        </w:rPr>
        <w:t>virtuvės pagalbiniam darbuotojui.</w:t>
      </w:r>
    </w:p>
    <w:p w14:paraId="1C3D247F">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Konkrečių darbuotojų, priskirtų atitinkamoms pareigybėms, pareigos ir funkcijos nustatomos pareigybės aprašymuose. Darbo sutartyje gali būti numatytos ir kitos darbuotojo darbo apmokėjimo sąlygos, tačiau jos negali prieštarauti šiai sistemai.</w:t>
      </w:r>
    </w:p>
    <w:p w14:paraId="70ADDE4C">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Darbuotojui įgijus aukštesnę kvalifikaciją, gimnazijos direktoriaus sprendimu tokiam darbuotojui gali būti mokamas didesnis darbo užmokestis arba pritaikytas didesnis darbo apmokėjimo koeficientas. Esant laisvoms darbo vietoms, kurioms keliami aukštesni reikalavimai, tokios darbo vietos pirmiausia pasiūlomos gimnazijos darbuotojams, įgijusiems aukštesnę kvalifikaciją. Tokiu atveju darbuotojui taikoma užimamos aukštesnės pareigybės atlyginimų sistema.</w:t>
      </w:r>
    </w:p>
    <w:p w14:paraId="03426C52">
      <w:pPr>
        <w:pStyle w:val="37"/>
        <w:shd w:val="clear" w:color="auto" w:fill="auto"/>
        <w:tabs>
          <w:tab w:val="left" w:pos="1276"/>
        </w:tabs>
        <w:spacing w:before="0" w:line="240" w:lineRule="auto"/>
        <w:ind w:left="851"/>
        <w:jc w:val="center"/>
        <w:rPr>
          <w:rFonts w:ascii="Times New Roman" w:hAnsi="Times New Roman" w:cs="Times New Roman"/>
          <w:b/>
          <w:bCs/>
          <w:sz w:val="24"/>
          <w:szCs w:val="24"/>
          <w:highlight w:val="yellow"/>
        </w:rPr>
      </w:pPr>
    </w:p>
    <w:p w14:paraId="6BD08F3A">
      <w:pPr>
        <w:pStyle w:val="37"/>
        <w:shd w:val="clear" w:color="auto" w:fill="auto"/>
        <w:tabs>
          <w:tab w:val="left" w:pos="1276"/>
        </w:tabs>
        <w:spacing w:before="0" w:line="240" w:lineRule="auto"/>
        <w:ind w:left="851"/>
        <w:jc w:val="center"/>
        <w:rPr>
          <w:rFonts w:ascii="Times New Roman" w:hAnsi="Times New Roman" w:cs="Times New Roman"/>
          <w:b/>
          <w:bCs/>
          <w:sz w:val="24"/>
          <w:szCs w:val="24"/>
        </w:rPr>
      </w:pPr>
      <w:r>
        <w:rPr>
          <w:rFonts w:ascii="Times New Roman" w:hAnsi="Times New Roman" w:cs="Times New Roman"/>
          <w:b/>
          <w:bCs/>
          <w:sz w:val="24"/>
          <w:szCs w:val="24"/>
        </w:rPr>
        <w:t>II SKIRSNIS</w:t>
      </w:r>
    </w:p>
    <w:p w14:paraId="2E3B1454">
      <w:pPr>
        <w:pStyle w:val="37"/>
        <w:shd w:val="clear" w:color="auto" w:fill="auto"/>
        <w:tabs>
          <w:tab w:val="left" w:pos="1276"/>
        </w:tabs>
        <w:spacing w:before="0" w:line="240" w:lineRule="auto"/>
        <w:ind w:left="851"/>
        <w:jc w:val="center"/>
        <w:rPr>
          <w:rFonts w:ascii="Times New Roman" w:hAnsi="Times New Roman" w:cs="Times New Roman"/>
          <w:b/>
          <w:bCs/>
          <w:sz w:val="24"/>
          <w:szCs w:val="24"/>
        </w:rPr>
      </w:pPr>
      <w:r>
        <w:rPr>
          <w:rFonts w:ascii="Times New Roman" w:hAnsi="Times New Roman" w:cs="Times New Roman"/>
          <w:b/>
          <w:bCs/>
          <w:sz w:val="24"/>
          <w:szCs w:val="24"/>
        </w:rPr>
        <w:t>DARBUOTOJŲ VERTINIMAS. KINTAMOSIOS DALIES NUSTATYMAS</w:t>
      </w:r>
    </w:p>
    <w:p w14:paraId="756BF47C">
      <w:pPr>
        <w:pStyle w:val="37"/>
        <w:shd w:val="clear" w:color="auto" w:fill="auto"/>
        <w:tabs>
          <w:tab w:val="left" w:pos="1276"/>
        </w:tabs>
        <w:spacing w:before="0" w:line="240" w:lineRule="auto"/>
        <w:ind w:left="851"/>
        <w:rPr>
          <w:rFonts w:ascii="Times New Roman" w:hAnsi="Times New Roman" w:cs="Times New Roman"/>
          <w:sz w:val="24"/>
          <w:szCs w:val="24"/>
        </w:rPr>
      </w:pPr>
    </w:p>
    <w:p w14:paraId="36876B94">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Biudžetinių įstaigų darbuotojų darbo apmokėjimo ir komisijų narių atlygio už darbą įstatymo 2 priede nurodytus darbuotojus, pareiginė alga perskaičiuojama, pareiginės algos pastoviąją dalį padalijant iš Lietuvos Respublikos pareiginės algos (atlyginimo) bazinio dydžio nustatymo ir asignavimų darbo užmokesčiui perskaičiavimo įstatyme nustatyto pareiginės algos (atlyginimo) bazinio dydžio. Apskaičiuotas pareiginės algos koeficientas apvalinamas iki šimtųjų dalių darbuotojo naudai. Jeigu skaitmuo po paskutinio skaitmens, iki kurio apvalinama, yra didesnis už 0, prie paskutinio skaitmens pridedamas vienetas.</w:t>
      </w:r>
    </w:p>
    <w:p w14:paraId="059F8ADE">
      <w:pPr>
        <w:pStyle w:val="37"/>
        <w:numPr>
          <w:ilvl w:val="0"/>
          <w:numId w:val="1"/>
        </w:numPr>
        <w:shd w:val="clear" w:color="auto" w:fill="auto"/>
        <w:tabs>
          <w:tab w:val="left" w:pos="1276"/>
        </w:tabs>
        <w:spacing w:before="0" w:line="240" w:lineRule="auto"/>
        <w:rPr>
          <w:rFonts w:ascii="Times New Roman" w:hAnsi="Times New Roman" w:cs="Times New Roman"/>
          <w:sz w:val="24"/>
          <w:szCs w:val="24"/>
        </w:rPr>
      </w:pPr>
      <w:r>
        <w:rPr>
          <w:rFonts w:ascii="Times New Roman" w:hAnsi="Times New Roman" w:cs="Times New Roman"/>
          <w:sz w:val="24"/>
          <w:szCs w:val="24"/>
        </w:rPr>
        <w:t>Gimnazijos direktoriaus pavaduotojams ugdymui, ūkvedžiui ir bendriesiems klausimams, mokytojo padėjėjams (nuo 2024-09-01 – mokinio padėjėjams), specialistams (A ir B lygio), kvalifikuotiems darbuotojams (C lygio):</w:t>
      </w:r>
    </w:p>
    <w:p w14:paraId="549F1926">
      <w:pPr>
        <w:pStyle w:val="37"/>
        <w:numPr>
          <w:ilvl w:val="1"/>
          <w:numId w:val="1"/>
        </w:numPr>
        <w:shd w:val="clear" w:color="auto" w:fill="auto"/>
        <w:tabs>
          <w:tab w:val="left" w:pos="1276"/>
          <w:tab w:val="left" w:pos="1418"/>
        </w:tabs>
        <w:spacing w:before="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Darbuotojų 2023 metų veiklos vertinimas atliekamas vadovaujantis Valstybės ir savivaldybių įstaigų darbuotojų veiklos vertinimo tvarkos aprašo, patvirtinto Lietuvos Respublikos Vyriausybės 2017 m. balandžio 5 d. nutarimu Nr. 254 „Dėl Valstybės ir savivaldybių įstaigų darbuotojų </w:t>
      </w:r>
      <w:r>
        <w:rPr>
          <w:rFonts w:ascii="Times New Roman" w:hAnsi="Times New Roman" w:cs="Times New Roman"/>
          <w:sz w:val="24"/>
          <w:szCs w:val="24"/>
        </w:rPr>
        <w:t xml:space="preserve">veiklos vertinimo tvarkos aprašo patvirtinimo“, nustatyta tvarka, išskyrus metinių užduočių nustatymą. Lūkesčiai dėl 2024 metų veiklos nustatomi Valstybės tarnautojų tarnybinės veiklos ir biudžetinių įstaigų darbuotojų veiklos vertinimo tvarkos aprašo nustatyta tvarka. </w:t>
      </w:r>
    </w:p>
    <w:p w14:paraId="2AB950C8">
      <w:pPr>
        <w:pStyle w:val="32"/>
        <w:numPr>
          <w:ilvl w:val="1"/>
          <w:numId w:val="1"/>
        </w:numPr>
        <w:spacing w:after="0"/>
        <w:ind w:left="0" w:firstLine="709"/>
        <w:rPr>
          <w:rFonts w:ascii="Times New Roman" w:hAnsi="Times New Roman" w:cs="Times New Roman"/>
          <w:sz w:val="24"/>
          <w:szCs w:val="24"/>
          <w:lang w:eastAsia="en-GB"/>
        </w:rPr>
      </w:pPr>
      <w:r>
        <w:rPr>
          <w:rFonts w:ascii="Times New Roman" w:hAnsi="Times New Roman" w:cs="Times New Roman"/>
          <w:sz w:val="24"/>
          <w:szCs w:val="24"/>
          <w:shd w:val="clear" w:color="auto" w:fill="FFFFFF"/>
          <w:lang w:eastAsia="en-GB"/>
        </w:rPr>
        <w:t>Pavaduotojų ugdymui 2023 m. metų veiklos vertinimas atliekamas vadovaujantis Lietuvos Respublikos švietimo, mokslo ir sporto</w:t>
      </w:r>
      <w:r>
        <w:rPr>
          <w:rFonts w:ascii="Times New Roman" w:hAnsi="Times New Roman" w:cs="Times New Roman"/>
          <w:sz w:val="24"/>
          <w:szCs w:val="24"/>
          <w:lang w:eastAsia="en-GB"/>
        </w:rPr>
        <w:t> </w:t>
      </w:r>
      <w:r>
        <w:rPr>
          <w:rFonts w:ascii="Times New Roman" w:hAnsi="Times New Roman" w:cs="Times New Roman"/>
          <w:sz w:val="24"/>
          <w:szCs w:val="24"/>
          <w:shd w:val="clear" w:color="auto" w:fill="FFFFFF"/>
          <w:lang w:eastAsia="en-GB"/>
        </w:rPr>
        <w:t>ministro </w:t>
      </w:r>
      <w:r>
        <w:rPr>
          <w:rFonts w:ascii="Times New Roman" w:hAnsi="Times New Roman" w:cs="Times New Roman"/>
          <w:sz w:val="24"/>
          <w:szCs w:val="24"/>
          <w:lang w:eastAsia="en-GB"/>
        </w:rPr>
        <w:t>2021 m. sausio 11d. </w:t>
      </w:r>
      <w:r>
        <w:rPr>
          <w:rFonts w:ascii="Times New Roman" w:hAnsi="Times New Roman" w:cs="Times New Roman"/>
          <w:sz w:val="24"/>
          <w:szCs w:val="24"/>
          <w:shd w:val="clear" w:color="auto" w:fill="FFFFFF"/>
          <w:lang w:eastAsia="en-GB"/>
        </w:rPr>
        <w:t>įsakymo Nr.</w:t>
      </w:r>
      <w:r>
        <w:rPr>
          <w:rFonts w:ascii="Times New Roman" w:hAnsi="Times New Roman" w:cs="Times New Roman"/>
          <w:sz w:val="24"/>
          <w:szCs w:val="24"/>
          <w:lang w:eastAsia="en-GB"/>
        </w:rPr>
        <w:t> V-48 </w:t>
      </w:r>
      <w:r>
        <w:rPr>
          <w:rFonts w:ascii="Times New Roman" w:hAnsi="Times New Roman" w:cs="Times New Roman"/>
          <w:sz w:val="24"/>
          <w:szCs w:val="24"/>
          <w:shd w:val="clear" w:color="auto" w:fill="FFFFFF"/>
          <w:lang w:eastAsia="en-GB"/>
        </w:rPr>
        <w:t xml:space="preserve">redakcijos  </w:t>
      </w:r>
      <w:r>
        <w:rPr>
          <w:rFonts w:ascii="Times New Roman" w:hAnsi="Times New Roman" w:cs="Times New Roman"/>
          <w:sz w:val="24"/>
          <w:szCs w:val="24"/>
        </w:rPr>
        <w:t xml:space="preserve">„Valstybinių ir savivaldybių švietimo įstaigų (išskyrus aukštąsias mokyklas) vadovų, jų pavaduotojų ugdymui, ugdymą organizuojančių skyrių vedėjų veiklos vertinimo nuostatais. Lūkesčiai dėl 2024 metų veiklos nustatomi </w:t>
      </w:r>
      <w:r>
        <w:rPr>
          <w:rFonts w:ascii="Times New Roman" w:hAnsi="Times New Roman" w:cs="Times New Roman"/>
          <w:sz w:val="24"/>
          <w:szCs w:val="24"/>
          <w:shd w:val="clear" w:color="auto" w:fill="FFFFFF"/>
          <w:lang w:eastAsia="en-GB"/>
        </w:rPr>
        <w:t>Lietuvos Respublikos švietimo, mokslo ir sporto</w:t>
      </w:r>
      <w:r>
        <w:rPr>
          <w:rFonts w:ascii="Times New Roman" w:hAnsi="Times New Roman" w:cs="Times New Roman"/>
          <w:sz w:val="24"/>
          <w:szCs w:val="24"/>
          <w:lang w:eastAsia="en-GB"/>
        </w:rPr>
        <w:t> </w:t>
      </w:r>
      <w:r>
        <w:rPr>
          <w:rFonts w:ascii="Times New Roman" w:hAnsi="Times New Roman" w:cs="Times New Roman"/>
          <w:sz w:val="24"/>
          <w:szCs w:val="24"/>
          <w:shd w:val="clear" w:color="auto" w:fill="FFFFFF"/>
          <w:lang w:eastAsia="en-GB"/>
        </w:rPr>
        <w:t>ministro nustatyta tvarka.</w:t>
      </w:r>
    </w:p>
    <w:p w14:paraId="340E8E94">
      <w:pPr>
        <w:pStyle w:val="32"/>
        <w:numPr>
          <w:ilvl w:val="1"/>
          <w:numId w:val="1"/>
        </w:numPr>
        <w:spacing w:after="0"/>
        <w:ind w:left="0" w:firstLine="709"/>
        <w:rPr>
          <w:rFonts w:ascii="Times New Roman" w:hAnsi="Times New Roman" w:cs="Times New Roman"/>
          <w:sz w:val="24"/>
          <w:szCs w:val="24"/>
          <w:lang w:eastAsia="en-GB"/>
        </w:rPr>
      </w:pPr>
      <w:r>
        <w:rPr>
          <w:rFonts w:ascii="Times New Roman" w:hAnsi="Times New Roman" w:cs="Times New Roman"/>
          <w:sz w:val="24"/>
          <w:szCs w:val="24"/>
          <w:lang w:eastAsia="en-GB"/>
        </w:rPr>
        <w:t xml:space="preserve">Nuo 2025 m. </w:t>
      </w:r>
      <w:r>
        <w:rPr>
          <w:rFonts w:ascii="Times New Roman" w:hAnsi="Times New Roman" w:cs="Times New Roman"/>
          <w:sz w:val="24"/>
          <w:szCs w:val="24"/>
        </w:rPr>
        <w:t>kintamoji dalis nustatoma atlikus kasmetinį darbuotojų vertinimą kiekvienais metais, atsižvelgiant į gimnazijos turimas lėšas.</w:t>
      </w:r>
      <w:r>
        <w:rPr>
          <w:rFonts w:ascii="Times New Roman" w:hAnsi="Times New Roman" w:cs="Times New Roman"/>
          <w:sz w:val="24"/>
          <w:szCs w:val="24"/>
          <w:lang w:eastAsia="en-GB"/>
        </w:rPr>
        <w:t xml:space="preserve"> </w:t>
      </w:r>
    </w:p>
    <w:p w14:paraId="035F1178">
      <w:pPr>
        <w:pStyle w:val="32"/>
        <w:numPr>
          <w:ilvl w:val="1"/>
          <w:numId w:val="1"/>
        </w:numPr>
        <w:spacing w:after="0"/>
        <w:ind w:left="0"/>
        <w:rPr>
          <w:rFonts w:ascii="Times New Roman" w:hAnsi="Times New Roman" w:cs="Times New Roman"/>
          <w:sz w:val="24"/>
          <w:szCs w:val="24"/>
          <w:lang w:eastAsia="en-GB"/>
        </w:rPr>
      </w:pPr>
      <w:r>
        <w:rPr>
          <w:rFonts w:ascii="Times New Roman" w:hAnsi="Times New Roman" w:cs="Times New Roman"/>
          <w:sz w:val="24"/>
          <w:szCs w:val="24"/>
          <w:lang w:eastAsia="en-GB"/>
        </w:rPr>
        <w:t>Biudžetinės įstaigos vadovas ar darbuotojas gali būti perkeliamas į toje pačioje biudžetinėje įstaigoje esančias žemesnes pareigas, kurios įstaigos darbo apmokėjimo sistemoje priskirtos žemesniam pareigybių lygmeniui (pakopai), jeigu tai neprieštarauja Viešųjų ir privačių interesų derinimo įstatymo 23 straipsniui (biudžetinės įstaigos darbuotojas gali būti perkeliamas į pareigas, dėl kurių turi būti rengiamas konkursas, tik jeigu tai atitinka Vyriausybės tvirtinamame pareigybių, dėl kurių rengiamas konkursas, sąraše nurodytas sąlygas).</w:t>
      </w:r>
    </w:p>
    <w:p w14:paraId="0FBC7543">
      <w:pPr>
        <w:spacing w:after="0"/>
        <w:rPr>
          <w:rFonts w:ascii="Times New Roman" w:hAnsi="Times New Roman" w:cs="Times New Roman"/>
          <w:sz w:val="24"/>
          <w:szCs w:val="24"/>
          <w:lang w:eastAsia="en-GB"/>
        </w:rPr>
      </w:pPr>
    </w:p>
    <w:p w14:paraId="2731AB97">
      <w:pPr>
        <w:pStyle w:val="32"/>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IV SKYRIUS</w:t>
      </w:r>
    </w:p>
    <w:p w14:paraId="37909307">
      <w:pPr>
        <w:pStyle w:val="32"/>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MOKYTOJO ETATO STRUKTŪRA </w:t>
      </w:r>
    </w:p>
    <w:p w14:paraId="44416A08">
      <w:pPr>
        <w:pStyle w:val="32"/>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MOKYTOJŲ DARBO KRŪVIO SUDARYMO KRITERIJAI</w:t>
      </w:r>
    </w:p>
    <w:p w14:paraId="75819026">
      <w:pPr>
        <w:pStyle w:val="32"/>
        <w:spacing w:after="0" w:line="240" w:lineRule="auto"/>
        <w:ind w:left="0"/>
        <w:jc w:val="center"/>
        <w:rPr>
          <w:rFonts w:ascii="Times New Roman" w:hAnsi="Times New Roman" w:cs="Times New Roman"/>
          <w:b/>
          <w:sz w:val="24"/>
          <w:szCs w:val="24"/>
        </w:rPr>
      </w:pPr>
    </w:p>
    <w:p w14:paraId="318D6BED">
      <w:pPr>
        <w:pStyle w:val="33"/>
        <w:numPr>
          <w:ilvl w:val="0"/>
          <w:numId w:val="1"/>
        </w:numPr>
        <w:ind w:firstLine="709"/>
        <w:rPr>
          <w:rFonts w:ascii="Times New Roman" w:hAnsi="Times New Roman" w:cs="Times New Roman"/>
          <w:color w:val="222222"/>
          <w:sz w:val="24"/>
          <w:szCs w:val="24"/>
          <w:lang w:eastAsia="lt-LT"/>
        </w:rPr>
      </w:pPr>
      <w:r>
        <w:rPr>
          <w:rFonts w:ascii="Times New Roman" w:hAnsi="Times New Roman" w:cs="Times New Roman"/>
          <w:sz w:val="24"/>
          <w:szCs w:val="24"/>
        </w:rPr>
        <w:t xml:space="preserve">Mokytojo darbo krūvis sudaromas vadovaujantis </w:t>
      </w:r>
      <w:r>
        <w:rPr>
          <w:rFonts w:ascii="Times New Roman" w:hAnsi="Times New Roman" w:cs="Times New Roman"/>
          <w:color w:val="222222"/>
          <w:sz w:val="24"/>
          <w:szCs w:val="24"/>
          <w:lang w:eastAsia="lt-LT"/>
        </w:rPr>
        <w:t xml:space="preserve">teisės aktais,  reglamentuojančiais mokytojo krūvio sandarą: </w:t>
      </w:r>
      <w:r>
        <w:rPr>
          <w:rFonts w:ascii="Times New Roman" w:hAnsi="Times New Roman" w:cs="Times New Roman"/>
          <w:sz w:val="24"/>
          <w:szCs w:val="24"/>
        </w:rPr>
        <w:t>Lietuvos Respublikos Švietimo, mokslo ir sporto ministro įsakymu patvirtintais „Mokytojų, dirbančių pagal bendrojo ugdymo, profesinio mokymo ir neformaliojo švietimo programas (išskyrus ikimokyklinio ir priešmokyklinio ugdymo programas), darbo krūvio sandaros nustatymo tvarkos aprašu“, „</w:t>
      </w:r>
      <w:r>
        <w:rPr>
          <w:rFonts w:ascii="Times New Roman" w:hAnsi="Times New Roman" w:cs="Times New Roman"/>
          <w:iCs/>
          <w:color w:val="000000"/>
          <w:sz w:val="24"/>
          <w:szCs w:val="24"/>
          <w:lang w:eastAsia="lt-LT"/>
        </w:rPr>
        <w:t xml:space="preserve">Mokytojų, dirbančių pagal bendrojo ugdymo, profesinio mokymo ir neformaliojo švietimo programas (išskyrus ikimokyklinio ir priešmokyklinio ugdymo programas), veiklų mokyklos bendruomenei aprašu“, </w:t>
      </w:r>
      <w:bookmarkStart w:id="0" w:name="m_6551134387310710948_part_35dcb36f007d4"/>
      <w:bookmarkEnd w:id="0"/>
      <w:r>
        <w:rPr>
          <w:rFonts w:ascii="Times New Roman" w:hAnsi="Times New Roman" w:cs="Times New Roman"/>
          <w:iCs/>
          <w:color w:val="000000"/>
          <w:sz w:val="24"/>
          <w:szCs w:val="24"/>
          <w:lang w:eastAsia="lt-LT"/>
        </w:rPr>
        <w:t>„Mokytojų, dirbančių pagal bendrojo ugdymo, profesinio mokymo ir neformaliojo švietimo programas (išskyrus ikimokyklinio ir priešmokyklinio ugdymo programas), veiklų, susijusių su profesiniu tobulėjimu, aprašu“, Pradinio, pagrindinio ugdymo programų bendraisiais ugdymo planais.</w:t>
      </w:r>
    </w:p>
    <w:p w14:paraId="5D5B42F9">
      <w:pPr>
        <w:pStyle w:val="33"/>
        <w:numPr>
          <w:ilvl w:val="0"/>
          <w:numId w:val="1"/>
        </w:numPr>
        <w:rPr>
          <w:rFonts w:ascii="Times New Roman" w:hAnsi="Times New Roman" w:cs="Times New Roman"/>
          <w:color w:val="222222"/>
          <w:sz w:val="24"/>
          <w:szCs w:val="24"/>
          <w:lang w:eastAsia="lt-LT"/>
        </w:rPr>
      </w:pPr>
      <w:r>
        <w:rPr>
          <w:rFonts w:ascii="Times New Roman" w:hAnsi="Times New Roman" w:cs="Times New Roman"/>
          <w:color w:val="222222"/>
          <w:sz w:val="24"/>
          <w:szCs w:val="24"/>
          <w:lang w:eastAsia="lt-LT"/>
        </w:rPr>
        <w:t>Mokytojo pareigybę (etatą) sudaro: kontaktinės valandos, valandos ugdomajai veiklai planuoti, pasiruošti pamokoms, mokinių mokymosi pasiekimams vertinti, vadovauti klasei, taip pat valandos, susijusios su profesiniu tobulėjimu ir veikla mokyklos bendruomenei. Iš viso 1512 metinių valandų.</w:t>
      </w:r>
    </w:p>
    <w:p w14:paraId="19723393">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Kontaktinių valandų skaičius mokytojams nustatomas vadovaujantis gimnazijos ugdymo planu.</w:t>
      </w:r>
    </w:p>
    <w:tbl>
      <w:tblPr>
        <w:tblStyle w:val="12"/>
        <w:tblW w:w="99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085"/>
        <w:gridCol w:w="2977"/>
        <w:gridCol w:w="2268"/>
        <w:gridCol w:w="1658"/>
      </w:tblGrid>
      <w:tr w14:paraId="5198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3" w:hRule="atLeast"/>
        </w:trPr>
        <w:tc>
          <w:tcPr>
            <w:tcW w:w="3085" w:type="dxa"/>
            <w:tcBorders>
              <w:top w:val="single" w:color="auto" w:sz="2" w:space="0"/>
              <w:left w:val="single" w:color="auto" w:sz="2" w:space="0"/>
              <w:bottom w:val="single" w:color="auto" w:sz="2" w:space="0"/>
              <w:right w:val="single" w:color="auto" w:sz="2" w:space="0"/>
            </w:tcBorders>
            <w:tcMar>
              <w:top w:w="0" w:type="dxa"/>
              <w:left w:w="108" w:type="dxa"/>
              <w:bottom w:w="0" w:type="dxa"/>
              <w:right w:w="108" w:type="dxa"/>
            </w:tcMar>
            <w:vAlign w:val="center"/>
          </w:tcPr>
          <w:p w14:paraId="48775D91">
            <w:pPr>
              <w:widowControl w:val="0"/>
              <w:jc w:val="center"/>
              <w:rPr>
                <w:rFonts w:ascii="Times New Roman" w:hAnsi="Times New Roman" w:cs="Times New Roman"/>
                <w:szCs w:val="24"/>
                <w:lang w:eastAsia="lt-LT"/>
              </w:rPr>
            </w:pPr>
            <w:r>
              <w:rPr>
                <w:rFonts w:ascii="Times New Roman" w:hAnsi="Times New Roman" w:cs="Times New Roman"/>
                <w:szCs w:val="24"/>
                <w:lang w:eastAsia="lt-LT"/>
              </w:rPr>
              <w:t>Pareigybė</w:t>
            </w:r>
          </w:p>
        </w:tc>
        <w:tc>
          <w:tcPr>
            <w:tcW w:w="2977" w:type="dxa"/>
            <w:tcBorders>
              <w:top w:val="single" w:color="auto" w:sz="2" w:space="0"/>
              <w:left w:val="single" w:color="auto" w:sz="2" w:space="0"/>
              <w:bottom w:val="single" w:color="auto" w:sz="2" w:space="0"/>
              <w:right w:val="single" w:color="auto" w:sz="2" w:space="0"/>
            </w:tcBorders>
            <w:tcMar>
              <w:top w:w="0" w:type="dxa"/>
              <w:left w:w="108" w:type="dxa"/>
              <w:bottom w:w="0" w:type="dxa"/>
              <w:right w:w="108" w:type="dxa"/>
            </w:tcMar>
            <w:vAlign w:val="center"/>
          </w:tcPr>
          <w:p w14:paraId="264D6F20">
            <w:pPr>
              <w:widowControl w:val="0"/>
              <w:jc w:val="center"/>
              <w:rPr>
                <w:rFonts w:ascii="Times New Roman" w:hAnsi="Times New Roman" w:cs="Times New Roman"/>
                <w:szCs w:val="24"/>
                <w:lang w:eastAsia="lt-LT"/>
              </w:rPr>
            </w:pPr>
            <w:r>
              <w:rPr>
                <w:rFonts w:ascii="Times New Roman" w:hAnsi="Times New Roman" w:cs="Times New Roman"/>
                <w:szCs w:val="24"/>
                <w:lang w:eastAsia="lt-LT"/>
              </w:rPr>
              <w:t>Kontaktinės valandos ir valandos ugdomajai veiklai planuoti, pasiruošti pamokoms, mokinių mokymosi pasiekimams vertinti, vadovauti klasei (grupei)</w:t>
            </w:r>
          </w:p>
        </w:tc>
        <w:tc>
          <w:tcPr>
            <w:tcW w:w="2268" w:type="dxa"/>
            <w:tcBorders>
              <w:top w:val="single" w:color="auto" w:sz="2" w:space="0"/>
              <w:left w:val="single" w:color="auto" w:sz="2" w:space="0"/>
              <w:bottom w:val="single" w:color="auto" w:sz="2" w:space="0"/>
              <w:right w:val="single" w:color="auto" w:sz="2" w:space="0"/>
            </w:tcBorders>
            <w:tcMar>
              <w:top w:w="0" w:type="dxa"/>
              <w:left w:w="108" w:type="dxa"/>
              <w:bottom w:w="0" w:type="dxa"/>
              <w:right w:w="108" w:type="dxa"/>
            </w:tcMar>
            <w:vAlign w:val="center"/>
          </w:tcPr>
          <w:p w14:paraId="03ACE43D">
            <w:pPr>
              <w:widowControl w:val="0"/>
              <w:jc w:val="center"/>
              <w:rPr>
                <w:rFonts w:ascii="Times New Roman" w:hAnsi="Times New Roman" w:cs="Times New Roman"/>
                <w:szCs w:val="24"/>
                <w:lang w:eastAsia="lt-LT"/>
              </w:rPr>
            </w:pPr>
            <w:r>
              <w:rPr>
                <w:rFonts w:ascii="Times New Roman" w:hAnsi="Times New Roman" w:cs="Times New Roman"/>
                <w:szCs w:val="24"/>
                <w:lang w:eastAsia="lt-LT"/>
              </w:rPr>
              <w:t>Valandos, susijusios su profesiniu tobulėjimu ir veikla mokyklos bendruomenėje</w:t>
            </w:r>
          </w:p>
        </w:tc>
        <w:tc>
          <w:tcPr>
            <w:tcW w:w="1658" w:type="dxa"/>
            <w:tcBorders>
              <w:top w:val="single" w:color="auto" w:sz="2" w:space="0"/>
              <w:left w:val="single" w:color="auto" w:sz="2" w:space="0"/>
              <w:bottom w:val="single" w:color="auto" w:sz="2" w:space="0"/>
              <w:right w:val="single" w:color="auto" w:sz="2" w:space="0"/>
            </w:tcBorders>
            <w:tcMar>
              <w:top w:w="0" w:type="dxa"/>
              <w:left w:w="108" w:type="dxa"/>
              <w:bottom w:w="0" w:type="dxa"/>
              <w:right w:w="108" w:type="dxa"/>
            </w:tcMar>
            <w:vAlign w:val="center"/>
          </w:tcPr>
          <w:p w14:paraId="1ABCA1D3">
            <w:pPr>
              <w:widowControl w:val="0"/>
              <w:jc w:val="center"/>
              <w:rPr>
                <w:rFonts w:ascii="Times New Roman" w:hAnsi="Times New Roman" w:cs="Times New Roman"/>
                <w:szCs w:val="24"/>
                <w:lang w:eastAsia="lt-LT"/>
              </w:rPr>
            </w:pPr>
            <w:r>
              <w:rPr>
                <w:rFonts w:ascii="Times New Roman" w:hAnsi="Times New Roman" w:cs="Times New Roman"/>
                <w:szCs w:val="24"/>
                <w:lang w:eastAsia="lt-LT"/>
              </w:rPr>
              <w:t>Iš viso</w:t>
            </w:r>
          </w:p>
        </w:tc>
      </w:tr>
      <w:tr w14:paraId="4487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88" w:hRule="atLeast"/>
        </w:trPr>
        <w:tc>
          <w:tcPr>
            <w:tcW w:w="3085" w:type="dxa"/>
            <w:tcBorders>
              <w:top w:val="single" w:color="auto" w:sz="2" w:space="0"/>
            </w:tcBorders>
            <w:tcMar>
              <w:top w:w="0" w:type="dxa"/>
              <w:left w:w="108" w:type="dxa"/>
              <w:bottom w:w="0" w:type="dxa"/>
              <w:right w:w="108" w:type="dxa"/>
            </w:tcMar>
            <w:vAlign w:val="center"/>
          </w:tcPr>
          <w:p w14:paraId="63F2D62A">
            <w:pPr>
              <w:spacing w:after="0"/>
              <w:jc w:val="left"/>
              <w:rPr>
                <w:rFonts w:ascii="Times New Roman" w:hAnsi="Times New Roman" w:cs="Times New Roman"/>
                <w:lang w:eastAsia="lt-LT"/>
              </w:rPr>
            </w:pPr>
            <w:r>
              <w:rPr>
                <w:rFonts w:ascii="Times New Roman" w:hAnsi="Times New Roman" w:cs="Times New Roman"/>
                <w:lang w:eastAsia="lt-LT"/>
              </w:rPr>
              <w:t>Mokytojas (pedagoginis darbo stažas iki 2 metų) Mokytojas</w:t>
            </w:r>
          </w:p>
          <w:p w14:paraId="760F0410">
            <w:pPr>
              <w:spacing w:after="0"/>
              <w:jc w:val="left"/>
              <w:rPr>
                <w:rFonts w:ascii="Times New Roman" w:hAnsi="Times New Roman" w:cs="Times New Roman"/>
                <w:lang w:eastAsia="lt-LT"/>
              </w:rPr>
            </w:pPr>
            <w:r>
              <w:rPr>
                <w:rFonts w:ascii="Times New Roman" w:hAnsi="Times New Roman" w:cs="Times New Roman"/>
                <w:lang w:eastAsia="lt-LT"/>
              </w:rPr>
              <w:t>Vyresnysis mokytojas</w:t>
            </w:r>
          </w:p>
          <w:p w14:paraId="391BCEDA">
            <w:pPr>
              <w:spacing w:after="0"/>
              <w:jc w:val="left"/>
              <w:rPr>
                <w:rFonts w:ascii="Times New Roman" w:hAnsi="Times New Roman" w:cs="Times New Roman"/>
                <w:lang w:eastAsia="lt-LT"/>
              </w:rPr>
            </w:pPr>
            <w:r>
              <w:rPr>
                <w:rFonts w:ascii="Times New Roman" w:hAnsi="Times New Roman" w:cs="Times New Roman"/>
                <w:lang w:eastAsia="lt-LT"/>
              </w:rPr>
              <w:t xml:space="preserve">Mokytojas </w:t>
            </w:r>
            <w:r>
              <w:rPr>
                <w:rStyle w:val="15"/>
                <w:rFonts w:ascii="Times New Roman" w:hAnsi="Times New Roman" w:cs="Times New Roman"/>
                <w:lang w:eastAsia="lt-LT"/>
              </w:rPr>
              <w:t>metodininkas</w:t>
            </w:r>
          </w:p>
          <w:p w14:paraId="7ADB508B">
            <w:pPr>
              <w:spacing w:after="0"/>
              <w:jc w:val="left"/>
              <w:rPr>
                <w:rFonts w:ascii="Times New Roman" w:hAnsi="Times New Roman" w:cs="Times New Roman"/>
                <w:lang w:eastAsia="lt-LT"/>
              </w:rPr>
            </w:pPr>
            <w:r>
              <w:rPr>
                <w:rFonts w:ascii="Times New Roman" w:hAnsi="Times New Roman" w:cs="Times New Roman"/>
                <w:lang w:eastAsia="lt-LT"/>
              </w:rPr>
              <w:t>Mokytojas ekspertas</w:t>
            </w:r>
          </w:p>
          <w:p w14:paraId="160B50D3">
            <w:pPr>
              <w:spacing w:after="0"/>
              <w:jc w:val="left"/>
              <w:rPr>
                <w:lang w:eastAsia="lt-LT"/>
              </w:rPr>
            </w:pPr>
            <w:r>
              <w:rPr>
                <w:rFonts w:ascii="Times New Roman" w:hAnsi="Times New Roman" w:cs="Times New Roman"/>
                <w:lang w:eastAsia="lt-LT"/>
              </w:rPr>
              <w:t>(pedagoginis darbo stažas nuo 2 metų)</w:t>
            </w:r>
          </w:p>
        </w:tc>
        <w:tc>
          <w:tcPr>
            <w:tcW w:w="2977" w:type="dxa"/>
            <w:tcBorders>
              <w:top w:val="single" w:color="auto" w:sz="2" w:space="0"/>
            </w:tcBorders>
            <w:tcMar>
              <w:top w:w="0" w:type="dxa"/>
              <w:left w:w="108" w:type="dxa"/>
              <w:bottom w:w="0" w:type="dxa"/>
              <w:right w:w="108" w:type="dxa"/>
            </w:tcMar>
            <w:vAlign w:val="center"/>
          </w:tcPr>
          <w:p w14:paraId="4B28620E">
            <w:pPr>
              <w:widowControl w:val="0"/>
              <w:jc w:val="center"/>
              <w:rPr>
                <w:rFonts w:ascii="Times New Roman" w:hAnsi="Times New Roman" w:cs="Times New Roman"/>
                <w:szCs w:val="24"/>
                <w:lang w:eastAsia="lt-LT"/>
              </w:rPr>
            </w:pPr>
            <w:r>
              <w:rPr>
                <w:rFonts w:ascii="Times New Roman" w:hAnsi="Times New Roman" w:cs="Times New Roman"/>
                <w:szCs w:val="24"/>
                <w:lang w:eastAsia="lt-LT"/>
              </w:rPr>
              <w:t>1 010–1 410</w:t>
            </w:r>
          </w:p>
        </w:tc>
        <w:tc>
          <w:tcPr>
            <w:tcW w:w="2268" w:type="dxa"/>
            <w:tcBorders>
              <w:top w:val="single" w:color="auto" w:sz="2" w:space="0"/>
            </w:tcBorders>
            <w:tcMar>
              <w:top w:w="0" w:type="dxa"/>
              <w:left w:w="108" w:type="dxa"/>
              <w:bottom w:w="0" w:type="dxa"/>
              <w:right w:w="108" w:type="dxa"/>
            </w:tcMar>
            <w:vAlign w:val="center"/>
          </w:tcPr>
          <w:p w14:paraId="67467DCA">
            <w:pPr>
              <w:widowControl w:val="0"/>
              <w:jc w:val="center"/>
              <w:rPr>
                <w:rFonts w:ascii="Times New Roman" w:hAnsi="Times New Roman" w:cs="Times New Roman"/>
                <w:szCs w:val="24"/>
                <w:lang w:eastAsia="lt-LT"/>
              </w:rPr>
            </w:pPr>
            <w:r>
              <w:rPr>
                <w:rFonts w:ascii="Times New Roman" w:hAnsi="Times New Roman" w:cs="Times New Roman"/>
                <w:szCs w:val="24"/>
                <w:lang w:eastAsia="lt-LT"/>
              </w:rPr>
              <w:t>102–502</w:t>
            </w:r>
          </w:p>
        </w:tc>
        <w:tc>
          <w:tcPr>
            <w:tcW w:w="1658" w:type="dxa"/>
            <w:tcBorders>
              <w:top w:val="single" w:color="auto" w:sz="2" w:space="0"/>
            </w:tcBorders>
            <w:tcMar>
              <w:top w:w="0" w:type="dxa"/>
              <w:left w:w="108" w:type="dxa"/>
              <w:bottom w:w="0" w:type="dxa"/>
              <w:right w:w="108" w:type="dxa"/>
            </w:tcMar>
            <w:vAlign w:val="center"/>
          </w:tcPr>
          <w:p w14:paraId="16548BE5">
            <w:pPr>
              <w:widowControl w:val="0"/>
              <w:jc w:val="center"/>
              <w:rPr>
                <w:rFonts w:ascii="Times New Roman" w:hAnsi="Times New Roman" w:cs="Times New Roman"/>
                <w:szCs w:val="24"/>
                <w:lang w:eastAsia="lt-LT"/>
              </w:rPr>
            </w:pPr>
            <w:r>
              <w:rPr>
                <w:rFonts w:ascii="Times New Roman" w:hAnsi="Times New Roman" w:cs="Times New Roman"/>
                <w:szCs w:val="24"/>
                <w:lang w:eastAsia="lt-LT"/>
              </w:rPr>
              <w:t>1 512</w:t>
            </w:r>
          </w:p>
        </w:tc>
      </w:tr>
    </w:tbl>
    <w:p w14:paraId="7B1FD202">
      <w:pPr>
        <w:tabs>
          <w:tab w:val="left" w:pos="1276"/>
        </w:tabs>
        <w:spacing w:after="0" w:line="240" w:lineRule="auto"/>
        <w:contextualSpacing/>
        <w:rPr>
          <w:rFonts w:ascii="Times New Roman" w:hAnsi="Times New Roman" w:cs="Times New Roman"/>
          <w:sz w:val="24"/>
          <w:szCs w:val="24"/>
        </w:rPr>
      </w:pPr>
    </w:p>
    <w:p w14:paraId="7FA91046">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Valandų, skiriamų vadovauti klasei, skaičius gali būti didinamas, jei mokytojas vadovauja daugiau kaip vienai klasei.</w:t>
      </w:r>
    </w:p>
    <w:tbl>
      <w:tblPr>
        <w:tblStyle w:val="12"/>
        <w:tblpPr w:leftFromText="180" w:rightFromText="180" w:vertAnchor="text" w:horzAnchor="margin" w:tblpY="8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0"/>
        <w:gridCol w:w="1477"/>
        <w:gridCol w:w="1477"/>
        <w:gridCol w:w="1471"/>
      </w:tblGrid>
      <w:tr w14:paraId="0DE0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5610" w:type="dxa"/>
            <w:vAlign w:val="center"/>
          </w:tcPr>
          <w:p w14:paraId="327DFE48">
            <w:pPr>
              <w:rPr>
                <w:rFonts w:ascii="Times New Roman" w:hAnsi="Times New Roman" w:cs="Times New Roman"/>
                <w:sz w:val="24"/>
                <w:szCs w:val="24"/>
                <w:lang w:eastAsia="lt-LT"/>
              </w:rPr>
            </w:pPr>
            <w:r>
              <w:rPr>
                <w:rFonts w:ascii="Times New Roman" w:hAnsi="Times New Roman" w:cs="Times New Roman"/>
                <w:sz w:val="24"/>
                <w:szCs w:val="24"/>
                <w:lang w:eastAsia="lt-LT"/>
              </w:rPr>
              <w:t>Mokinių skaičius klasėje (grupėje)</w:t>
            </w:r>
          </w:p>
        </w:tc>
        <w:tc>
          <w:tcPr>
            <w:tcW w:w="1477" w:type="dxa"/>
            <w:vAlign w:val="center"/>
          </w:tcPr>
          <w:p w14:paraId="2690E6B3">
            <w:pPr>
              <w:jc w:val="center"/>
              <w:rPr>
                <w:rFonts w:ascii="Times New Roman" w:hAnsi="Times New Roman" w:cs="Times New Roman"/>
                <w:sz w:val="24"/>
                <w:szCs w:val="24"/>
                <w:lang w:eastAsia="lt-LT"/>
              </w:rPr>
            </w:pPr>
            <w:r>
              <w:rPr>
                <w:rFonts w:ascii="Times New Roman" w:hAnsi="Times New Roman" w:cs="Times New Roman"/>
                <w:sz w:val="24"/>
                <w:szCs w:val="24"/>
              </w:rPr>
              <w:t>ne daugiau kaip 11</w:t>
            </w:r>
          </w:p>
        </w:tc>
        <w:tc>
          <w:tcPr>
            <w:tcW w:w="1477" w:type="dxa"/>
            <w:vAlign w:val="center"/>
          </w:tcPr>
          <w:p w14:paraId="1FEF3300">
            <w:pPr>
              <w:jc w:val="center"/>
              <w:rPr>
                <w:rFonts w:ascii="Times New Roman" w:hAnsi="Times New Roman" w:cs="Times New Roman"/>
                <w:sz w:val="24"/>
                <w:szCs w:val="24"/>
                <w:lang w:eastAsia="lt-LT"/>
              </w:rPr>
            </w:pPr>
            <w:r>
              <w:rPr>
                <w:rFonts w:ascii="Times New Roman" w:hAnsi="Times New Roman" w:cs="Times New Roman"/>
                <w:sz w:val="24"/>
                <w:szCs w:val="24"/>
              </w:rPr>
              <w:t>12-20</w:t>
            </w:r>
          </w:p>
        </w:tc>
        <w:tc>
          <w:tcPr>
            <w:tcW w:w="1471" w:type="dxa"/>
            <w:vAlign w:val="center"/>
          </w:tcPr>
          <w:p w14:paraId="368455E7">
            <w:pPr>
              <w:jc w:val="center"/>
              <w:rPr>
                <w:rFonts w:ascii="Times New Roman" w:hAnsi="Times New Roman" w:cs="Times New Roman"/>
                <w:sz w:val="24"/>
                <w:szCs w:val="24"/>
                <w:lang w:eastAsia="lt-LT"/>
              </w:rPr>
            </w:pPr>
            <w:r>
              <w:rPr>
                <w:rFonts w:ascii="Times New Roman" w:hAnsi="Times New Roman" w:cs="Times New Roman"/>
                <w:sz w:val="24"/>
                <w:szCs w:val="24"/>
              </w:rPr>
              <w:t>21 ir daugiau</w:t>
            </w:r>
          </w:p>
        </w:tc>
      </w:tr>
      <w:tr w14:paraId="5BD9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610" w:type="dxa"/>
            <w:vAlign w:val="center"/>
          </w:tcPr>
          <w:p w14:paraId="6E83ECA5">
            <w:pPr>
              <w:rPr>
                <w:rFonts w:ascii="Times New Roman" w:hAnsi="Times New Roman" w:cs="Times New Roman"/>
                <w:sz w:val="24"/>
                <w:szCs w:val="24"/>
                <w:lang w:eastAsia="lt-LT"/>
              </w:rPr>
            </w:pPr>
            <w:r>
              <w:rPr>
                <w:rFonts w:ascii="Times New Roman" w:hAnsi="Times New Roman" w:cs="Times New Roman"/>
                <w:sz w:val="24"/>
                <w:szCs w:val="24"/>
                <w:lang w:eastAsia="lt-LT"/>
              </w:rPr>
              <w:t>Valandų, skiriamų vadovauti klasei (grupei), skaičius mokytojui per mokslo metus</w:t>
            </w:r>
          </w:p>
        </w:tc>
        <w:tc>
          <w:tcPr>
            <w:tcW w:w="1477" w:type="dxa"/>
            <w:vAlign w:val="center"/>
          </w:tcPr>
          <w:p w14:paraId="561A5A32">
            <w:pPr>
              <w:jc w:val="center"/>
              <w:rPr>
                <w:rFonts w:ascii="Times New Roman" w:hAnsi="Times New Roman" w:cs="Times New Roman"/>
                <w:sz w:val="24"/>
                <w:szCs w:val="24"/>
                <w:lang w:eastAsia="lt-LT"/>
              </w:rPr>
            </w:pPr>
            <w:r>
              <w:rPr>
                <w:rFonts w:ascii="Times New Roman" w:hAnsi="Times New Roman" w:cs="Times New Roman"/>
                <w:sz w:val="24"/>
                <w:szCs w:val="24"/>
                <w:lang w:eastAsia="lt-LT"/>
              </w:rPr>
              <w:t>152</w:t>
            </w:r>
          </w:p>
        </w:tc>
        <w:tc>
          <w:tcPr>
            <w:tcW w:w="1477" w:type="dxa"/>
            <w:vAlign w:val="center"/>
          </w:tcPr>
          <w:p w14:paraId="4C030B80">
            <w:pPr>
              <w:jc w:val="center"/>
              <w:rPr>
                <w:rFonts w:ascii="Times New Roman" w:hAnsi="Times New Roman" w:cs="Times New Roman"/>
                <w:sz w:val="24"/>
                <w:szCs w:val="24"/>
                <w:lang w:eastAsia="lt-LT"/>
              </w:rPr>
            </w:pPr>
            <w:r>
              <w:rPr>
                <w:rFonts w:ascii="Times New Roman" w:hAnsi="Times New Roman" w:cs="Times New Roman"/>
                <w:sz w:val="24"/>
                <w:szCs w:val="24"/>
                <w:lang w:eastAsia="lt-LT"/>
              </w:rPr>
              <w:t>180</w:t>
            </w:r>
          </w:p>
        </w:tc>
        <w:tc>
          <w:tcPr>
            <w:tcW w:w="1471" w:type="dxa"/>
            <w:vAlign w:val="center"/>
          </w:tcPr>
          <w:p w14:paraId="2BDD1773">
            <w:pPr>
              <w:jc w:val="center"/>
              <w:rPr>
                <w:rFonts w:ascii="Times New Roman" w:hAnsi="Times New Roman" w:cs="Times New Roman"/>
                <w:sz w:val="24"/>
                <w:szCs w:val="24"/>
                <w:lang w:eastAsia="lt-LT"/>
              </w:rPr>
            </w:pPr>
            <w:r>
              <w:rPr>
                <w:rFonts w:ascii="Times New Roman" w:hAnsi="Times New Roman" w:cs="Times New Roman"/>
                <w:sz w:val="24"/>
                <w:szCs w:val="24"/>
                <w:lang w:eastAsia="lt-LT"/>
              </w:rPr>
              <w:t>210</w:t>
            </w:r>
          </w:p>
        </w:tc>
      </w:tr>
    </w:tbl>
    <w:p w14:paraId="5C162FA3">
      <w:pPr>
        <w:pStyle w:val="32"/>
        <w:tabs>
          <w:tab w:val="left" w:pos="1276"/>
        </w:tabs>
        <w:spacing w:after="0" w:line="240" w:lineRule="auto"/>
        <w:ind w:left="851"/>
        <w:contextualSpacing/>
        <w:rPr>
          <w:rFonts w:ascii="Times New Roman" w:hAnsi="Times New Roman" w:cs="Times New Roman"/>
          <w:sz w:val="24"/>
          <w:szCs w:val="24"/>
        </w:rPr>
      </w:pPr>
    </w:p>
    <w:p w14:paraId="12718DF7">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Mokytojams, kurie atlieka vadovavimo klasei funkciją ir koordinuoja socialinę pilietinę veiklą, numatomas 20 proc. didesnis valandų, skiriamų vadovauti klasei skaičius, „Valandų, skiriamų vadovauti klasei (grupei), skaičius mokytojui per mokslo metus“.</w:t>
      </w:r>
    </w:p>
    <w:p w14:paraId="555507D9">
      <w:pPr>
        <w:pStyle w:val="32"/>
        <w:numPr>
          <w:ilvl w:val="1"/>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mokytojui, kuris nevadovauja klasei, o tik koordinuoja socialinę-pilietinę veiklą, skiriama: klasėje, kuriose mokosi ne daugiau kaip 11 mokinių, – 30,4 valandos (152*0,2=30,4);</w:t>
      </w:r>
    </w:p>
    <w:p w14:paraId="4230A194">
      <w:pPr>
        <w:pStyle w:val="32"/>
        <w:numPr>
          <w:ilvl w:val="1"/>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mokytojui,</w:t>
      </w:r>
      <w:r>
        <w:t xml:space="preserve"> </w:t>
      </w:r>
      <w:r>
        <w:rPr>
          <w:rFonts w:ascii="Times New Roman" w:hAnsi="Times New Roman" w:cs="Times New Roman"/>
          <w:sz w:val="24"/>
          <w:szCs w:val="24"/>
        </w:rPr>
        <w:t>kuris nevadovauja klasei, o tik koordinuoja socialinę-pilietinę veiklą, skiriama: klasėje, kuriose mokosi 12–20 mokinių, – 36 valandos (180*0,2=36).</w:t>
      </w:r>
    </w:p>
    <w:p w14:paraId="40BE5AAF">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Valandų, skiriamų ugdomajai veiklai planuoti, pasiruošti pamokoms, mokinių mokymosi pasiekimams vertinti, skaičius mokytojui per mokslo metus nustatomas procentais nuo kontaktinių valandų, atsižvelgiant į įgyvendinamą programą, ugdymo ar mokymo sritį, dalyką ir į mokinių skaičių klasėje (grupėje):</w:t>
      </w:r>
    </w:p>
    <w:tbl>
      <w:tblPr>
        <w:tblStyle w:val="12"/>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1"/>
        <w:gridCol w:w="1255"/>
        <w:gridCol w:w="1062"/>
        <w:gridCol w:w="1063"/>
        <w:gridCol w:w="1254"/>
        <w:gridCol w:w="934"/>
        <w:gridCol w:w="128"/>
        <w:gridCol w:w="864"/>
      </w:tblGrid>
      <w:tr w14:paraId="14056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3471" w:type="dxa"/>
            <w:vMerge w:val="restart"/>
            <w:vAlign w:val="center"/>
          </w:tcPr>
          <w:p w14:paraId="0CF0CF60">
            <w:pPr>
              <w:spacing w:after="0"/>
              <w:rPr>
                <w:rStyle w:val="15"/>
                <w:rFonts w:ascii="Times New Roman" w:hAnsi="Times New Roman" w:cs="Times New Roman"/>
              </w:rPr>
            </w:pPr>
            <w:r>
              <w:rPr>
                <w:rStyle w:val="15"/>
                <w:rFonts w:ascii="Times New Roman" w:hAnsi="Times New Roman" w:cs="Times New Roman"/>
              </w:rPr>
              <w:t>Programa, ugdymo, mokymo sritis, dalykas</w:t>
            </w:r>
          </w:p>
        </w:tc>
        <w:tc>
          <w:tcPr>
            <w:tcW w:w="3380" w:type="dxa"/>
            <w:gridSpan w:val="3"/>
            <w:vAlign w:val="center"/>
          </w:tcPr>
          <w:p w14:paraId="0D504A67">
            <w:pPr>
              <w:spacing w:after="0"/>
              <w:rPr>
                <w:rStyle w:val="15"/>
                <w:rFonts w:ascii="Times New Roman" w:hAnsi="Times New Roman" w:cs="Times New Roman"/>
              </w:rPr>
            </w:pPr>
            <w:r>
              <w:rPr>
                <w:rStyle w:val="15"/>
                <w:rFonts w:ascii="Times New Roman" w:hAnsi="Times New Roman" w:cs="Times New Roman"/>
              </w:rPr>
              <w:t>Mokytojams, kurių darbo stažas iki 2 metų</w:t>
            </w:r>
          </w:p>
        </w:tc>
        <w:tc>
          <w:tcPr>
            <w:tcW w:w="3180" w:type="dxa"/>
            <w:gridSpan w:val="4"/>
            <w:vAlign w:val="center"/>
          </w:tcPr>
          <w:p w14:paraId="5C43118E">
            <w:pPr>
              <w:spacing w:after="0"/>
              <w:rPr>
                <w:rStyle w:val="15"/>
                <w:rFonts w:ascii="Times New Roman" w:hAnsi="Times New Roman" w:cs="Times New Roman"/>
              </w:rPr>
            </w:pPr>
            <w:r>
              <w:rPr>
                <w:rStyle w:val="15"/>
                <w:rFonts w:ascii="Times New Roman" w:hAnsi="Times New Roman" w:cs="Times New Roman"/>
              </w:rPr>
              <w:t>Mokytojams, kurių darbo stažas 2 ir daugiau metų</w:t>
            </w:r>
          </w:p>
        </w:tc>
      </w:tr>
      <w:tr w14:paraId="4327D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3471" w:type="dxa"/>
            <w:vMerge w:val="continue"/>
            <w:vAlign w:val="center"/>
          </w:tcPr>
          <w:p w14:paraId="2D675D33">
            <w:pPr>
              <w:spacing w:after="0"/>
              <w:rPr>
                <w:rStyle w:val="15"/>
                <w:rFonts w:ascii="Times New Roman" w:hAnsi="Times New Roman" w:cs="Times New Roman"/>
              </w:rPr>
            </w:pPr>
          </w:p>
        </w:tc>
        <w:tc>
          <w:tcPr>
            <w:tcW w:w="3380" w:type="dxa"/>
            <w:gridSpan w:val="3"/>
            <w:vAlign w:val="center"/>
          </w:tcPr>
          <w:p w14:paraId="716F2E56">
            <w:pPr>
              <w:spacing w:after="0"/>
              <w:rPr>
                <w:rStyle w:val="15"/>
                <w:rFonts w:ascii="Times New Roman" w:hAnsi="Times New Roman" w:cs="Times New Roman"/>
              </w:rPr>
            </w:pPr>
            <w:r>
              <w:rPr>
                <w:rStyle w:val="15"/>
                <w:rFonts w:ascii="Times New Roman" w:hAnsi="Times New Roman" w:cs="Times New Roman"/>
              </w:rPr>
              <w:t>mokinių skaičius klasėje (grupėje)</w:t>
            </w:r>
          </w:p>
        </w:tc>
        <w:tc>
          <w:tcPr>
            <w:tcW w:w="3180" w:type="dxa"/>
            <w:gridSpan w:val="4"/>
            <w:vAlign w:val="center"/>
          </w:tcPr>
          <w:p w14:paraId="51519E04">
            <w:pPr>
              <w:spacing w:after="0"/>
              <w:rPr>
                <w:rStyle w:val="15"/>
                <w:rFonts w:ascii="Times New Roman" w:hAnsi="Times New Roman" w:cs="Times New Roman"/>
              </w:rPr>
            </w:pPr>
            <w:r>
              <w:rPr>
                <w:rStyle w:val="15"/>
                <w:rFonts w:ascii="Times New Roman" w:hAnsi="Times New Roman" w:cs="Times New Roman"/>
              </w:rPr>
              <w:t>mokinių skaičius klasėje (grupėje)</w:t>
            </w:r>
          </w:p>
        </w:tc>
      </w:tr>
      <w:tr w14:paraId="7321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3471" w:type="dxa"/>
            <w:vMerge w:val="continue"/>
            <w:vAlign w:val="center"/>
          </w:tcPr>
          <w:p w14:paraId="6A046CB6">
            <w:pPr>
              <w:spacing w:after="0"/>
              <w:rPr>
                <w:rStyle w:val="15"/>
                <w:rFonts w:ascii="Times New Roman" w:hAnsi="Times New Roman" w:cs="Times New Roman"/>
              </w:rPr>
            </w:pPr>
          </w:p>
        </w:tc>
        <w:tc>
          <w:tcPr>
            <w:tcW w:w="1255" w:type="dxa"/>
            <w:vAlign w:val="center"/>
          </w:tcPr>
          <w:p w14:paraId="46CB6732">
            <w:pPr>
              <w:spacing w:after="0"/>
              <w:jc w:val="center"/>
              <w:rPr>
                <w:rStyle w:val="15"/>
                <w:rFonts w:ascii="Times New Roman" w:hAnsi="Times New Roman" w:cs="Times New Roman"/>
              </w:rPr>
            </w:pPr>
            <w:r>
              <w:rPr>
                <w:rStyle w:val="15"/>
                <w:rFonts w:ascii="Times New Roman" w:hAnsi="Times New Roman" w:cs="Times New Roman"/>
              </w:rPr>
              <w:t>ne daugiau</w:t>
            </w:r>
          </w:p>
          <w:p w14:paraId="0442C448">
            <w:pPr>
              <w:spacing w:after="0"/>
              <w:jc w:val="center"/>
              <w:rPr>
                <w:rStyle w:val="15"/>
                <w:rFonts w:ascii="Times New Roman" w:hAnsi="Times New Roman" w:cs="Times New Roman"/>
              </w:rPr>
            </w:pPr>
            <w:r>
              <w:rPr>
                <w:rStyle w:val="15"/>
                <w:rFonts w:ascii="Times New Roman" w:hAnsi="Times New Roman" w:cs="Times New Roman"/>
              </w:rPr>
              <w:t>kaip 11</w:t>
            </w:r>
          </w:p>
        </w:tc>
        <w:tc>
          <w:tcPr>
            <w:tcW w:w="1062" w:type="dxa"/>
            <w:vAlign w:val="center"/>
          </w:tcPr>
          <w:p w14:paraId="1070ACD7">
            <w:pPr>
              <w:spacing w:after="0"/>
              <w:jc w:val="center"/>
              <w:rPr>
                <w:rStyle w:val="15"/>
                <w:rFonts w:ascii="Times New Roman" w:hAnsi="Times New Roman" w:cs="Times New Roman"/>
              </w:rPr>
            </w:pPr>
            <w:r>
              <w:rPr>
                <w:rStyle w:val="15"/>
                <w:rFonts w:ascii="Times New Roman" w:hAnsi="Times New Roman" w:cs="Times New Roman"/>
              </w:rPr>
              <w:t>12-20</w:t>
            </w:r>
          </w:p>
        </w:tc>
        <w:tc>
          <w:tcPr>
            <w:tcW w:w="1063" w:type="dxa"/>
            <w:vAlign w:val="center"/>
          </w:tcPr>
          <w:p w14:paraId="4DA36DCD">
            <w:pPr>
              <w:spacing w:after="0"/>
              <w:jc w:val="center"/>
              <w:rPr>
                <w:rStyle w:val="15"/>
                <w:rFonts w:ascii="Times New Roman" w:hAnsi="Times New Roman" w:cs="Times New Roman"/>
              </w:rPr>
            </w:pPr>
            <w:r>
              <w:rPr>
                <w:rStyle w:val="15"/>
                <w:rFonts w:ascii="Times New Roman" w:hAnsi="Times New Roman" w:cs="Times New Roman"/>
              </w:rPr>
              <w:t>21 ir daugiau</w:t>
            </w:r>
          </w:p>
        </w:tc>
        <w:tc>
          <w:tcPr>
            <w:tcW w:w="1254" w:type="dxa"/>
            <w:vAlign w:val="center"/>
          </w:tcPr>
          <w:p w14:paraId="11B82612">
            <w:pPr>
              <w:spacing w:after="0"/>
              <w:jc w:val="center"/>
              <w:rPr>
                <w:rStyle w:val="15"/>
                <w:rFonts w:ascii="Times New Roman" w:hAnsi="Times New Roman" w:cs="Times New Roman"/>
              </w:rPr>
            </w:pPr>
            <w:r>
              <w:rPr>
                <w:rStyle w:val="15"/>
                <w:rFonts w:ascii="Times New Roman" w:hAnsi="Times New Roman" w:cs="Times New Roman"/>
              </w:rPr>
              <w:t>ne daugiau</w:t>
            </w:r>
          </w:p>
          <w:p w14:paraId="609936C9">
            <w:pPr>
              <w:spacing w:after="0"/>
              <w:jc w:val="center"/>
              <w:rPr>
                <w:rStyle w:val="15"/>
                <w:rFonts w:ascii="Times New Roman" w:hAnsi="Times New Roman" w:cs="Times New Roman"/>
              </w:rPr>
            </w:pPr>
            <w:r>
              <w:rPr>
                <w:rStyle w:val="15"/>
                <w:rFonts w:ascii="Times New Roman" w:hAnsi="Times New Roman" w:cs="Times New Roman"/>
              </w:rPr>
              <w:t>kaip 11</w:t>
            </w:r>
          </w:p>
        </w:tc>
        <w:tc>
          <w:tcPr>
            <w:tcW w:w="934" w:type="dxa"/>
            <w:vAlign w:val="center"/>
          </w:tcPr>
          <w:p w14:paraId="70D7AA56">
            <w:pPr>
              <w:spacing w:after="0"/>
              <w:jc w:val="center"/>
              <w:rPr>
                <w:rStyle w:val="15"/>
                <w:rFonts w:ascii="Times New Roman" w:hAnsi="Times New Roman" w:cs="Times New Roman"/>
              </w:rPr>
            </w:pPr>
            <w:r>
              <w:rPr>
                <w:rStyle w:val="15"/>
                <w:rFonts w:ascii="Times New Roman" w:hAnsi="Times New Roman" w:cs="Times New Roman"/>
              </w:rPr>
              <w:t>12-20</w:t>
            </w:r>
          </w:p>
        </w:tc>
        <w:tc>
          <w:tcPr>
            <w:tcW w:w="992" w:type="dxa"/>
            <w:gridSpan w:val="2"/>
            <w:vAlign w:val="center"/>
          </w:tcPr>
          <w:p w14:paraId="1CAEA5F9">
            <w:pPr>
              <w:spacing w:after="0"/>
              <w:jc w:val="center"/>
              <w:rPr>
                <w:rStyle w:val="15"/>
                <w:rFonts w:ascii="Times New Roman" w:hAnsi="Times New Roman" w:cs="Times New Roman"/>
              </w:rPr>
            </w:pPr>
            <w:r>
              <w:rPr>
                <w:rStyle w:val="15"/>
                <w:rFonts w:ascii="Times New Roman" w:hAnsi="Times New Roman" w:cs="Times New Roman"/>
              </w:rPr>
              <w:t>21 ir daugiau</w:t>
            </w:r>
          </w:p>
        </w:tc>
      </w:tr>
      <w:tr w14:paraId="1BBE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3471" w:type="dxa"/>
            <w:vAlign w:val="bottom"/>
          </w:tcPr>
          <w:p w14:paraId="791A425B">
            <w:pPr>
              <w:spacing w:after="0"/>
              <w:rPr>
                <w:rStyle w:val="15"/>
                <w:rFonts w:ascii="Times New Roman" w:hAnsi="Times New Roman" w:cs="Times New Roman"/>
              </w:rPr>
            </w:pPr>
            <w:r>
              <w:rPr>
                <w:rStyle w:val="15"/>
                <w:rFonts w:ascii="Times New Roman" w:hAnsi="Times New Roman" w:cs="Times New Roman"/>
              </w:rPr>
              <w:t xml:space="preserve"> Bendrojo ugdymo programų dalykai:</w:t>
            </w:r>
          </w:p>
        </w:tc>
        <w:tc>
          <w:tcPr>
            <w:tcW w:w="6560" w:type="dxa"/>
            <w:gridSpan w:val="7"/>
            <w:vAlign w:val="bottom"/>
          </w:tcPr>
          <w:p w14:paraId="7F708C2C">
            <w:pPr>
              <w:spacing w:after="0"/>
              <w:jc w:val="center"/>
              <w:rPr>
                <w:rStyle w:val="15"/>
                <w:rFonts w:ascii="Times New Roman" w:hAnsi="Times New Roman" w:cs="Times New Roman"/>
              </w:rPr>
            </w:pPr>
            <w:r>
              <w:rPr>
                <w:rStyle w:val="15"/>
                <w:rFonts w:ascii="Times New Roman" w:hAnsi="Times New Roman" w:cs="Times New Roman"/>
              </w:rPr>
              <w:t>x</w:t>
            </w:r>
          </w:p>
        </w:tc>
      </w:tr>
      <w:tr w14:paraId="6ACA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3471" w:type="dxa"/>
            <w:shd w:val="clear" w:color="auto" w:fill="auto"/>
            <w:vAlign w:val="bottom"/>
          </w:tcPr>
          <w:p w14:paraId="76A40E5A">
            <w:pPr>
              <w:spacing w:after="0"/>
              <w:rPr>
                <w:rStyle w:val="15"/>
                <w:rFonts w:ascii="Times New Roman" w:hAnsi="Times New Roman" w:cs="Times New Roman"/>
              </w:rPr>
            </w:pPr>
            <w:r>
              <w:rPr>
                <w:rStyle w:val="15"/>
                <w:rFonts w:ascii="Times New Roman" w:hAnsi="Times New Roman" w:cs="Times New Roman"/>
              </w:rPr>
              <w:t>Pradinis ugdymas (visi dalykai)</w:t>
            </w:r>
          </w:p>
        </w:tc>
        <w:tc>
          <w:tcPr>
            <w:tcW w:w="1255" w:type="dxa"/>
            <w:shd w:val="clear" w:color="auto" w:fill="auto"/>
            <w:vAlign w:val="bottom"/>
          </w:tcPr>
          <w:p w14:paraId="0EC78171">
            <w:pPr>
              <w:spacing w:after="0"/>
              <w:jc w:val="center"/>
              <w:rPr>
                <w:rStyle w:val="15"/>
                <w:rFonts w:ascii="Times New Roman" w:hAnsi="Times New Roman" w:cs="Times New Roman"/>
              </w:rPr>
            </w:pPr>
            <w:r>
              <w:rPr>
                <w:rStyle w:val="15"/>
                <w:rFonts w:ascii="Times New Roman" w:hAnsi="Times New Roman" w:cs="Times New Roman"/>
              </w:rPr>
              <w:t>70</w:t>
            </w:r>
          </w:p>
        </w:tc>
        <w:tc>
          <w:tcPr>
            <w:tcW w:w="1062" w:type="dxa"/>
            <w:shd w:val="clear" w:color="auto" w:fill="auto"/>
            <w:vAlign w:val="bottom"/>
          </w:tcPr>
          <w:p w14:paraId="16BD9183">
            <w:pPr>
              <w:spacing w:after="0"/>
              <w:jc w:val="center"/>
              <w:rPr>
                <w:rStyle w:val="15"/>
                <w:rFonts w:ascii="Times New Roman" w:hAnsi="Times New Roman" w:cs="Times New Roman"/>
              </w:rPr>
            </w:pPr>
            <w:r>
              <w:rPr>
                <w:rStyle w:val="15"/>
                <w:rFonts w:ascii="Times New Roman" w:hAnsi="Times New Roman" w:cs="Times New Roman"/>
              </w:rPr>
              <w:t>75</w:t>
            </w:r>
          </w:p>
        </w:tc>
        <w:tc>
          <w:tcPr>
            <w:tcW w:w="1063" w:type="dxa"/>
            <w:shd w:val="clear" w:color="auto" w:fill="auto"/>
            <w:vAlign w:val="bottom"/>
          </w:tcPr>
          <w:p w14:paraId="018410AE">
            <w:pPr>
              <w:spacing w:after="0"/>
              <w:jc w:val="center"/>
              <w:rPr>
                <w:rStyle w:val="15"/>
                <w:rFonts w:ascii="Times New Roman" w:hAnsi="Times New Roman" w:cs="Times New Roman"/>
              </w:rPr>
            </w:pPr>
            <w:r>
              <w:rPr>
                <w:rStyle w:val="15"/>
                <w:rFonts w:ascii="Times New Roman" w:hAnsi="Times New Roman" w:cs="Times New Roman"/>
              </w:rPr>
              <w:t>80</w:t>
            </w:r>
          </w:p>
        </w:tc>
        <w:tc>
          <w:tcPr>
            <w:tcW w:w="1254" w:type="dxa"/>
            <w:shd w:val="clear" w:color="auto" w:fill="auto"/>
            <w:vAlign w:val="bottom"/>
          </w:tcPr>
          <w:p w14:paraId="42809EA1">
            <w:pPr>
              <w:spacing w:after="0"/>
              <w:jc w:val="center"/>
              <w:rPr>
                <w:rStyle w:val="15"/>
                <w:rFonts w:ascii="Times New Roman" w:hAnsi="Times New Roman" w:cs="Times New Roman"/>
              </w:rPr>
            </w:pPr>
            <w:r>
              <w:rPr>
                <w:rStyle w:val="15"/>
                <w:rFonts w:ascii="Times New Roman" w:hAnsi="Times New Roman" w:cs="Times New Roman"/>
              </w:rPr>
              <w:t>50</w:t>
            </w:r>
          </w:p>
        </w:tc>
        <w:tc>
          <w:tcPr>
            <w:tcW w:w="1062" w:type="dxa"/>
            <w:gridSpan w:val="2"/>
            <w:shd w:val="clear" w:color="auto" w:fill="auto"/>
            <w:vAlign w:val="bottom"/>
          </w:tcPr>
          <w:p w14:paraId="5B5261E7">
            <w:pPr>
              <w:spacing w:after="0"/>
              <w:jc w:val="center"/>
              <w:rPr>
                <w:rStyle w:val="15"/>
                <w:rFonts w:ascii="Times New Roman" w:hAnsi="Times New Roman" w:cs="Times New Roman"/>
              </w:rPr>
            </w:pPr>
            <w:r>
              <w:rPr>
                <w:rStyle w:val="15"/>
                <w:rFonts w:ascii="Times New Roman" w:hAnsi="Times New Roman" w:cs="Times New Roman"/>
              </w:rPr>
              <w:t>55</w:t>
            </w:r>
          </w:p>
        </w:tc>
        <w:tc>
          <w:tcPr>
            <w:tcW w:w="864" w:type="dxa"/>
            <w:shd w:val="clear" w:color="auto" w:fill="auto"/>
            <w:vAlign w:val="bottom"/>
          </w:tcPr>
          <w:p w14:paraId="0282B0F1">
            <w:pPr>
              <w:spacing w:after="0"/>
              <w:jc w:val="center"/>
              <w:rPr>
                <w:rStyle w:val="15"/>
                <w:rFonts w:ascii="Times New Roman" w:hAnsi="Times New Roman" w:cs="Times New Roman"/>
              </w:rPr>
            </w:pPr>
            <w:r>
              <w:rPr>
                <w:rStyle w:val="15"/>
                <w:rFonts w:ascii="Times New Roman" w:hAnsi="Times New Roman" w:cs="Times New Roman"/>
              </w:rPr>
              <w:t>60</w:t>
            </w:r>
          </w:p>
        </w:tc>
      </w:tr>
      <w:tr w14:paraId="1E6E5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3471" w:type="dxa"/>
            <w:shd w:val="clear" w:color="auto" w:fill="auto"/>
            <w:vAlign w:val="bottom"/>
          </w:tcPr>
          <w:p w14:paraId="7C9E9AC5">
            <w:pPr>
              <w:spacing w:after="0"/>
              <w:rPr>
                <w:rStyle w:val="15"/>
                <w:rFonts w:ascii="Times New Roman" w:hAnsi="Times New Roman" w:cs="Times New Roman"/>
              </w:rPr>
            </w:pPr>
            <w:r>
              <w:rPr>
                <w:rStyle w:val="15"/>
                <w:rFonts w:ascii="Times New Roman" w:hAnsi="Times New Roman" w:cs="Times New Roman"/>
              </w:rPr>
              <w:t>Pagrindinis ir vidurinis ugdymas:</w:t>
            </w:r>
          </w:p>
        </w:tc>
        <w:tc>
          <w:tcPr>
            <w:tcW w:w="6560" w:type="dxa"/>
            <w:gridSpan w:val="7"/>
            <w:shd w:val="clear" w:color="auto" w:fill="auto"/>
            <w:vAlign w:val="bottom"/>
          </w:tcPr>
          <w:p w14:paraId="6BA47020">
            <w:pPr>
              <w:spacing w:after="0"/>
              <w:jc w:val="center"/>
              <w:rPr>
                <w:rStyle w:val="15"/>
                <w:rFonts w:ascii="Times New Roman" w:hAnsi="Times New Roman" w:cs="Times New Roman"/>
              </w:rPr>
            </w:pPr>
            <w:r>
              <w:rPr>
                <w:rStyle w:val="15"/>
                <w:rFonts w:ascii="Times New Roman" w:hAnsi="Times New Roman" w:cs="Times New Roman"/>
              </w:rPr>
              <w:t>x</w:t>
            </w:r>
          </w:p>
        </w:tc>
      </w:tr>
      <w:tr w14:paraId="5B3AB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3471" w:type="dxa"/>
            <w:shd w:val="clear" w:color="auto" w:fill="auto"/>
            <w:vAlign w:val="bottom"/>
          </w:tcPr>
          <w:p w14:paraId="0B52B6A7">
            <w:pPr>
              <w:spacing w:after="0"/>
              <w:rPr>
                <w:rStyle w:val="15"/>
                <w:rFonts w:ascii="Times New Roman" w:hAnsi="Times New Roman" w:cs="Times New Roman"/>
              </w:rPr>
            </w:pPr>
            <w:r>
              <w:rPr>
                <w:rStyle w:val="15"/>
                <w:rFonts w:ascii="Times New Roman" w:hAnsi="Times New Roman" w:cs="Times New Roman"/>
              </w:rPr>
              <w:t>Dorinis ugdymas (tikyba, etika)</w:t>
            </w:r>
          </w:p>
        </w:tc>
        <w:tc>
          <w:tcPr>
            <w:tcW w:w="1255" w:type="dxa"/>
            <w:shd w:val="clear" w:color="auto" w:fill="auto"/>
            <w:vAlign w:val="bottom"/>
          </w:tcPr>
          <w:p w14:paraId="7F35CF86">
            <w:pPr>
              <w:spacing w:after="0"/>
              <w:jc w:val="center"/>
              <w:rPr>
                <w:rStyle w:val="15"/>
                <w:rFonts w:ascii="Times New Roman" w:hAnsi="Times New Roman" w:cs="Times New Roman"/>
              </w:rPr>
            </w:pPr>
            <w:r>
              <w:rPr>
                <w:rStyle w:val="15"/>
                <w:rFonts w:ascii="Times New Roman" w:hAnsi="Times New Roman" w:cs="Times New Roman"/>
              </w:rPr>
              <w:t>62</w:t>
            </w:r>
          </w:p>
        </w:tc>
        <w:tc>
          <w:tcPr>
            <w:tcW w:w="1062" w:type="dxa"/>
            <w:shd w:val="clear" w:color="auto" w:fill="auto"/>
            <w:vAlign w:val="bottom"/>
          </w:tcPr>
          <w:p w14:paraId="4E6743FC">
            <w:pPr>
              <w:spacing w:after="0"/>
              <w:jc w:val="center"/>
              <w:rPr>
                <w:rStyle w:val="15"/>
                <w:rFonts w:ascii="Times New Roman" w:hAnsi="Times New Roman" w:cs="Times New Roman"/>
              </w:rPr>
            </w:pPr>
            <w:r>
              <w:rPr>
                <w:rStyle w:val="15"/>
                <w:rFonts w:ascii="Times New Roman" w:hAnsi="Times New Roman" w:cs="Times New Roman"/>
              </w:rPr>
              <w:t>64</w:t>
            </w:r>
          </w:p>
        </w:tc>
        <w:tc>
          <w:tcPr>
            <w:tcW w:w="1063" w:type="dxa"/>
            <w:shd w:val="clear" w:color="auto" w:fill="auto"/>
            <w:vAlign w:val="bottom"/>
          </w:tcPr>
          <w:p w14:paraId="6AA80192">
            <w:pPr>
              <w:spacing w:after="0"/>
              <w:jc w:val="center"/>
              <w:rPr>
                <w:rStyle w:val="15"/>
                <w:rFonts w:ascii="Times New Roman" w:hAnsi="Times New Roman" w:cs="Times New Roman"/>
              </w:rPr>
            </w:pPr>
            <w:r>
              <w:rPr>
                <w:rStyle w:val="15"/>
                <w:rFonts w:ascii="Times New Roman" w:hAnsi="Times New Roman" w:cs="Times New Roman"/>
              </w:rPr>
              <w:t>66</w:t>
            </w:r>
          </w:p>
        </w:tc>
        <w:tc>
          <w:tcPr>
            <w:tcW w:w="1254" w:type="dxa"/>
            <w:shd w:val="clear" w:color="auto" w:fill="auto"/>
            <w:vAlign w:val="bottom"/>
          </w:tcPr>
          <w:p w14:paraId="4A5134E0">
            <w:pPr>
              <w:spacing w:after="0"/>
              <w:jc w:val="center"/>
              <w:rPr>
                <w:rStyle w:val="15"/>
                <w:rFonts w:ascii="Times New Roman" w:hAnsi="Times New Roman" w:cs="Times New Roman"/>
              </w:rPr>
            </w:pPr>
            <w:r>
              <w:rPr>
                <w:rStyle w:val="15"/>
                <w:rFonts w:ascii="Times New Roman" w:hAnsi="Times New Roman" w:cs="Times New Roman"/>
              </w:rPr>
              <w:t>42</w:t>
            </w:r>
          </w:p>
        </w:tc>
        <w:tc>
          <w:tcPr>
            <w:tcW w:w="1062" w:type="dxa"/>
            <w:gridSpan w:val="2"/>
            <w:shd w:val="clear" w:color="auto" w:fill="auto"/>
            <w:vAlign w:val="bottom"/>
          </w:tcPr>
          <w:p w14:paraId="2866525D">
            <w:pPr>
              <w:spacing w:after="0"/>
              <w:jc w:val="center"/>
              <w:rPr>
                <w:rStyle w:val="15"/>
                <w:rFonts w:ascii="Times New Roman" w:hAnsi="Times New Roman" w:cs="Times New Roman"/>
              </w:rPr>
            </w:pPr>
            <w:r>
              <w:rPr>
                <w:rStyle w:val="15"/>
                <w:rFonts w:ascii="Times New Roman" w:hAnsi="Times New Roman" w:cs="Times New Roman"/>
              </w:rPr>
              <w:t>44</w:t>
            </w:r>
          </w:p>
        </w:tc>
        <w:tc>
          <w:tcPr>
            <w:tcW w:w="864" w:type="dxa"/>
            <w:shd w:val="clear" w:color="auto" w:fill="auto"/>
            <w:vAlign w:val="bottom"/>
          </w:tcPr>
          <w:p w14:paraId="78727D38">
            <w:pPr>
              <w:spacing w:after="0"/>
              <w:jc w:val="center"/>
              <w:rPr>
                <w:rStyle w:val="15"/>
                <w:rFonts w:ascii="Times New Roman" w:hAnsi="Times New Roman" w:cs="Times New Roman"/>
              </w:rPr>
            </w:pPr>
            <w:r>
              <w:rPr>
                <w:rStyle w:val="15"/>
                <w:rFonts w:ascii="Times New Roman" w:hAnsi="Times New Roman" w:cs="Times New Roman"/>
              </w:rPr>
              <w:t>46</w:t>
            </w:r>
          </w:p>
        </w:tc>
      </w:tr>
      <w:tr w14:paraId="1E023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3471" w:type="dxa"/>
            <w:shd w:val="clear" w:color="auto" w:fill="auto"/>
            <w:vAlign w:val="bottom"/>
          </w:tcPr>
          <w:p w14:paraId="76E9E843">
            <w:pPr>
              <w:spacing w:after="0"/>
              <w:rPr>
                <w:rStyle w:val="15"/>
                <w:rFonts w:ascii="Times New Roman" w:hAnsi="Times New Roman" w:cs="Times New Roman"/>
              </w:rPr>
            </w:pPr>
            <w:r>
              <w:rPr>
                <w:rStyle w:val="15"/>
                <w:rFonts w:ascii="Times New Roman" w:hAnsi="Times New Roman" w:cs="Times New Roman"/>
              </w:rPr>
              <w:t>Lietuvių kalba ir literatūra, gimtoji kalba (mokyklose, kuriose įteisintas mokymas tautinės mažumos kalba)</w:t>
            </w:r>
          </w:p>
        </w:tc>
        <w:tc>
          <w:tcPr>
            <w:tcW w:w="1255" w:type="dxa"/>
            <w:shd w:val="clear" w:color="auto" w:fill="auto"/>
            <w:vAlign w:val="bottom"/>
          </w:tcPr>
          <w:p w14:paraId="068050F9">
            <w:pPr>
              <w:spacing w:after="0"/>
              <w:jc w:val="center"/>
              <w:rPr>
                <w:rStyle w:val="15"/>
                <w:rFonts w:ascii="Times New Roman" w:hAnsi="Times New Roman" w:cs="Times New Roman"/>
              </w:rPr>
            </w:pPr>
            <w:r>
              <w:rPr>
                <w:rStyle w:val="15"/>
                <w:rFonts w:ascii="Times New Roman" w:hAnsi="Times New Roman" w:cs="Times New Roman"/>
              </w:rPr>
              <w:t>74</w:t>
            </w:r>
          </w:p>
        </w:tc>
        <w:tc>
          <w:tcPr>
            <w:tcW w:w="1062" w:type="dxa"/>
            <w:shd w:val="clear" w:color="auto" w:fill="auto"/>
            <w:vAlign w:val="bottom"/>
          </w:tcPr>
          <w:p w14:paraId="03AF130A">
            <w:pPr>
              <w:spacing w:after="0"/>
              <w:jc w:val="center"/>
              <w:rPr>
                <w:rStyle w:val="15"/>
                <w:rFonts w:ascii="Times New Roman" w:hAnsi="Times New Roman" w:cs="Times New Roman"/>
              </w:rPr>
            </w:pPr>
            <w:r>
              <w:rPr>
                <w:rStyle w:val="15"/>
                <w:rFonts w:ascii="Times New Roman" w:hAnsi="Times New Roman" w:cs="Times New Roman"/>
              </w:rPr>
              <w:t>78</w:t>
            </w:r>
          </w:p>
        </w:tc>
        <w:tc>
          <w:tcPr>
            <w:tcW w:w="1063" w:type="dxa"/>
            <w:shd w:val="clear" w:color="auto" w:fill="auto"/>
            <w:vAlign w:val="bottom"/>
          </w:tcPr>
          <w:p w14:paraId="6E7A0B0C">
            <w:pPr>
              <w:spacing w:after="0"/>
              <w:jc w:val="center"/>
              <w:rPr>
                <w:rStyle w:val="15"/>
                <w:rFonts w:ascii="Times New Roman" w:hAnsi="Times New Roman" w:cs="Times New Roman"/>
              </w:rPr>
            </w:pPr>
            <w:r>
              <w:rPr>
                <w:rStyle w:val="15"/>
                <w:rFonts w:ascii="Times New Roman" w:hAnsi="Times New Roman" w:cs="Times New Roman"/>
              </w:rPr>
              <w:t>80</w:t>
            </w:r>
          </w:p>
        </w:tc>
        <w:tc>
          <w:tcPr>
            <w:tcW w:w="1254" w:type="dxa"/>
            <w:shd w:val="clear" w:color="auto" w:fill="auto"/>
            <w:vAlign w:val="bottom"/>
          </w:tcPr>
          <w:p w14:paraId="5B06AFD6">
            <w:pPr>
              <w:spacing w:after="0"/>
              <w:jc w:val="center"/>
              <w:rPr>
                <w:rStyle w:val="15"/>
                <w:rFonts w:ascii="Times New Roman" w:hAnsi="Times New Roman" w:cs="Times New Roman"/>
              </w:rPr>
            </w:pPr>
            <w:r>
              <w:rPr>
                <w:rStyle w:val="15"/>
                <w:rFonts w:ascii="Times New Roman" w:hAnsi="Times New Roman" w:cs="Times New Roman"/>
              </w:rPr>
              <w:t>54</w:t>
            </w:r>
          </w:p>
        </w:tc>
        <w:tc>
          <w:tcPr>
            <w:tcW w:w="1062" w:type="dxa"/>
            <w:gridSpan w:val="2"/>
            <w:shd w:val="clear" w:color="auto" w:fill="auto"/>
            <w:vAlign w:val="bottom"/>
          </w:tcPr>
          <w:p w14:paraId="2A9494E9">
            <w:pPr>
              <w:spacing w:after="0"/>
              <w:jc w:val="center"/>
              <w:rPr>
                <w:rStyle w:val="15"/>
                <w:rFonts w:ascii="Times New Roman" w:hAnsi="Times New Roman" w:cs="Times New Roman"/>
              </w:rPr>
            </w:pPr>
            <w:r>
              <w:rPr>
                <w:rStyle w:val="15"/>
                <w:rFonts w:ascii="Times New Roman" w:hAnsi="Times New Roman" w:cs="Times New Roman"/>
              </w:rPr>
              <w:t>58</w:t>
            </w:r>
          </w:p>
        </w:tc>
        <w:tc>
          <w:tcPr>
            <w:tcW w:w="864" w:type="dxa"/>
            <w:shd w:val="clear" w:color="auto" w:fill="auto"/>
            <w:vAlign w:val="bottom"/>
          </w:tcPr>
          <w:p w14:paraId="21218544">
            <w:pPr>
              <w:spacing w:after="0"/>
              <w:jc w:val="center"/>
              <w:rPr>
                <w:rStyle w:val="15"/>
                <w:rFonts w:ascii="Times New Roman" w:hAnsi="Times New Roman" w:cs="Times New Roman"/>
              </w:rPr>
            </w:pPr>
            <w:r>
              <w:rPr>
                <w:rStyle w:val="15"/>
                <w:rFonts w:ascii="Times New Roman" w:hAnsi="Times New Roman" w:cs="Times New Roman"/>
              </w:rPr>
              <w:t>60</w:t>
            </w:r>
          </w:p>
        </w:tc>
      </w:tr>
      <w:tr w14:paraId="183C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3471" w:type="dxa"/>
            <w:shd w:val="clear" w:color="auto" w:fill="auto"/>
            <w:vAlign w:val="bottom"/>
          </w:tcPr>
          <w:p w14:paraId="559C78EF">
            <w:pPr>
              <w:spacing w:after="0"/>
              <w:rPr>
                <w:rStyle w:val="15"/>
                <w:rFonts w:ascii="Times New Roman" w:hAnsi="Times New Roman" w:cs="Times New Roman"/>
              </w:rPr>
            </w:pPr>
            <w:r>
              <w:rPr>
                <w:rStyle w:val="15"/>
                <w:rFonts w:ascii="Times New Roman" w:hAnsi="Times New Roman" w:cs="Times New Roman"/>
              </w:rPr>
              <w:t>Užsienio kalba</w:t>
            </w:r>
          </w:p>
        </w:tc>
        <w:tc>
          <w:tcPr>
            <w:tcW w:w="1255" w:type="dxa"/>
            <w:shd w:val="clear" w:color="auto" w:fill="auto"/>
            <w:vAlign w:val="bottom"/>
          </w:tcPr>
          <w:p w14:paraId="6ED84D4D">
            <w:pPr>
              <w:spacing w:after="0"/>
              <w:jc w:val="center"/>
              <w:rPr>
                <w:rStyle w:val="15"/>
                <w:rFonts w:ascii="Times New Roman" w:hAnsi="Times New Roman" w:cs="Times New Roman"/>
              </w:rPr>
            </w:pPr>
            <w:r>
              <w:rPr>
                <w:rStyle w:val="15"/>
                <w:rFonts w:ascii="Times New Roman" w:hAnsi="Times New Roman" w:cs="Times New Roman"/>
              </w:rPr>
              <w:t>67</w:t>
            </w:r>
          </w:p>
        </w:tc>
        <w:tc>
          <w:tcPr>
            <w:tcW w:w="1062" w:type="dxa"/>
            <w:shd w:val="clear" w:color="auto" w:fill="auto"/>
            <w:vAlign w:val="bottom"/>
          </w:tcPr>
          <w:p w14:paraId="7B1A7310">
            <w:pPr>
              <w:spacing w:after="0"/>
              <w:jc w:val="center"/>
              <w:rPr>
                <w:rStyle w:val="15"/>
                <w:rFonts w:ascii="Times New Roman" w:hAnsi="Times New Roman" w:cs="Times New Roman"/>
              </w:rPr>
            </w:pPr>
            <w:r>
              <w:rPr>
                <w:rStyle w:val="15"/>
                <w:rFonts w:ascii="Times New Roman" w:hAnsi="Times New Roman" w:cs="Times New Roman"/>
              </w:rPr>
              <w:t>70</w:t>
            </w:r>
          </w:p>
        </w:tc>
        <w:tc>
          <w:tcPr>
            <w:tcW w:w="1063" w:type="dxa"/>
            <w:shd w:val="clear" w:color="auto" w:fill="auto"/>
            <w:vAlign w:val="bottom"/>
          </w:tcPr>
          <w:p w14:paraId="40BD22D3">
            <w:pPr>
              <w:spacing w:after="0"/>
              <w:jc w:val="center"/>
              <w:rPr>
                <w:rStyle w:val="15"/>
                <w:rFonts w:ascii="Times New Roman" w:hAnsi="Times New Roman" w:cs="Times New Roman"/>
              </w:rPr>
            </w:pPr>
            <w:r>
              <w:rPr>
                <w:rStyle w:val="15"/>
                <w:rFonts w:ascii="Times New Roman" w:hAnsi="Times New Roman" w:cs="Times New Roman"/>
              </w:rPr>
              <w:t>73</w:t>
            </w:r>
          </w:p>
        </w:tc>
        <w:tc>
          <w:tcPr>
            <w:tcW w:w="1254" w:type="dxa"/>
            <w:shd w:val="clear" w:color="auto" w:fill="auto"/>
            <w:vAlign w:val="bottom"/>
          </w:tcPr>
          <w:p w14:paraId="32EDD5CA">
            <w:pPr>
              <w:spacing w:after="0"/>
              <w:jc w:val="center"/>
              <w:rPr>
                <w:rStyle w:val="15"/>
                <w:rFonts w:ascii="Times New Roman" w:hAnsi="Times New Roman" w:cs="Times New Roman"/>
              </w:rPr>
            </w:pPr>
            <w:r>
              <w:rPr>
                <w:rStyle w:val="15"/>
                <w:rFonts w:ascii="Times New Roman" w:hAnsi="Times New Roman" w:cs="Times New Roman"/>
              </w:rPr>
              <w:t>47</w:t>
            </w:r>
          </w:p>
        </w:tc>
        <w:tc>
          <w:tcPr>
            <w:tcW w:w="1062" w:type="dxa"/>
            <w:gridSpan w:val="2"/>
            <w:shd w:val="clear" w:color="auto" w:fill="auto"/>
            <w:vAlign w:val="bottom"/>
          </w:tcPr>
          <w:p w14:paraId="692F77C1">
            <w:pPr>
              <w:spacing w:after="0"/>
              <w:jc w:val="center"/>
              <w:rPr>
                <w:rStyle w:val="15"/>
                <w:rFonts w:ascii="Times New Roman" w:hAnsi="Times New Roman" w:cs="Times New Roman"/>
              </w:rPr>
            </w:pPr>
            <w:r>
              <w:rPr>
                <w:rStyle w:val="15"/>
                <w:rFonts w:ascii="Times New Roman" w:hAnsi="Times New Roman" w:cs="Times New Roman"/>
              </w:rPr>
              <w:t>50</w:t>
            </w:r>
          </w:p>
        </w:tc>
        <w:tc>
          <w:tcPr>
            <w:tcW w:w="864" w:type="dxa"/>
            <w:shd w:val="clear" w:color="auto" w:fill="auto"/>
            <w:vAlign w:val="bottom"/>
          </w:tcPr>
          <w:p w14:paraId="5D120AFE">
            <w:pPr>
              <w:spacing w:after="0"/>
              <w:jc w:val="center"/>
              <w:rPr>
                <w:rStyle w:val="15"/>
                <w:rFonts w:ascii="Times New Roman" w:hAnsi="Times New Roman" w:cs="Times New Roman"/>
              </w:rPr>
            </w:pPr>
            <w:r>
              <w:rPr>
                <w:rStyle w:val="15"/>
                <w:rFonts w:ascii="Times New Roman" w:hAnsi="Times New Roman" w:cs="Times New Roman"/>
              </w:rPr>
              <w:t>53</w:t>
            </w:r>
          </w:p>
        </w:tc>
      </w:tr>
      <w:tr w14:paraId="2B02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3471" w:type="dxa"/>
            <w:shd w:val="clear" w:color="auto" w:fill="auto"/>
            <w:vAlign w:val="bottom"/>
          </w:tcPr>
          <w:p w14:paraId="6692DDCC">
            <w:pPr>
              <w:spacing w:after="0"/>
              <w:rPr>
                <w:rStyle w:val="15"/>
                <w:rFonts w:ascii="Times New Roman" w:hAnsi="Times New Roman" w:cs="Times New Roman"/>
              </w:rPr>
            </w:pPr>
            <w:r>
              <w:rPr>
                <w:rStyle w:val="15"/>
                <w:rFonts w:ascii="Times New Roman" w:hAnsi="Times New Roman" w:cs="Times New Roman"/>
              </w:rPr>
              <w:t>Matematika</w:t>
            </w:r>
          </w:p>
        </w:tc>
        <w:tc>
          <w:tcPr>
            <w:tcW w:w="1255" w:type="dxa"/>
            <w:shd w:val="clear" w:color="auto" w:fill="auto"/>
            <w:vAlign w:val="bottom"/>
          </w:tcPr>
          <w:p w14:paraId="2B53DB8A">
            <w:pPr>
              <w:spacing w:after="0"/>
              <w:jc w:val="center"/>
              <w:rPr>
                <w:rStyle w:val="15"/>
                <w:rFonts w:ascii="Times New Roman" w:hAnsi="Times New Roman" w:cs="Times New Roman"/>
              </w:rPr>
            </w:pPr>
            <w:r>
              <w:rPr>
                <w:rStyle w:val="15"/>
                <w:rFonts w:ascii="Times New Roman" w:hAnsi="Times New Roman" w:cs="Times New Roman"/>
              </w:rPr>
              <w:t>70</w:t>
            </w:r>
          </w:p>
        </w:tc>
        <w:tc>
          <w:tcPr>
            <w:tcW w:w="1062" w:type="dxa"/>
            <w:shd w:val="clear" w:color="auto" w:fill="auto"/>
            <w:vAlign w:val="bottom"/>
          </w:tcPr>
          <w:p w14:paraId="4B19FD59">
            <w:pPr>
              <w:spacing w:after="0"/>
              <w:jc w:val="center"/>
              <w:rPr>
                <w:rStyle w:val="15"/>
                <w:rFonts w:ascii="Times New Roman" w:hAnsi="Times New Roman" w:cs="Times New Roman"/>
              </w:rPr>
            </w:pPr>
            <w:r>
              <w:rPr>
                <w:rStyle w:val="15"/>
                <w:rFonts w:ascii="Times New Roman" w:hAnsi="Times New Roman" w:cs="Times New Roman"/>
              </w:rPr>
              <w:t>73</w:t>
            </w:r>
          </w:p>
        </w:tc>
        <w:tc>
          <w:tcPr>
            <w:tcW w:w="1063" w:type="dxa"/>
            <w:shd w:val="clear" w:color="auto" w:fill="auto"/>
            <w:vAlign w:val="bottom"/>
          </w:tcPr>
          <w:p w14:paraId="3F190C5C">
            <w:pPr>
              <w:spacing w:after="0"/>
              <w:jc w:val="center"/>
              <w:rPr>
                <w:rStyle w:val="15"/>
                <w:rFonts w:ascii="Times New Roman" w:hAnsi="Times New Roman" w:cs="Times New Roman"/>
              </w:rPr>
            </w:pPr>
            <w:r>
              <w:rPr>
                <w:rStyle w:val="15"/>
                <w:rFonts w:ascii="Times New Roman" w:hAnsi="Times New Roman" w:cs="Times New Roman"/>
              </w:rPr>
              <w:t>75</w:t>
            </w:r>
          </w:p>
        </w:tc>
        <w:tc>
          <w:tcPr>
            <w:tcW w:w="1254" w:type="dxa"/>
            <w:shd w:val="clear" w:color="auto" w:fill="auto"/>
            <w:vAlign w:val="bottom"/>
          </w:tcPr>
          <w:p w14:paraId="3EFBF4C5">
            <w:pPr>
              <w:spacing w:after="0"/>
              <w:jc w:val="center"/>
              <w:rPr>
                <w:rStyle w:val="15"/>
                <w:rFonts w:ascii="Times New Roman" w:hAnsi="Times New Roman" w:cs="Times New Roman"/>
              </w:rPr>
            </w:pPr>
            <w:r>
              <w:rPr>
                <w:rStyle w:val="15"/>
                <w:rFonts w:ascii="Times New Roman" w:hAnsi="Times New Roman" w:cs="Times New Roman"/>
              </w:rPr>
              <w:t>50</w:t>
            </w:r>
          </w:p>
        </w:tc>
        <w:tc>
          <w:tcPr>
            <w:tcW w:w="1062" w:type="dxa"/>
            <w:gridSpan w:val="2"/>
            <w:shd w:val="clear" w:color="auto" w:fill="auto"/>
            <w:vAlign w:val="bottom"/>
          </w:tcPr>
          <w:p w14:paraId="62EA111E">
            <w:pPr>
              <w:spacing w:after="0"/>
              <w:jc w:val="center"/>
              <w:rPr>
                <w:rStyle w:val="15"/>
                <w:rFonts w:ascii="Times New Roman" w:hAnsi="Times New Roman" w:cs="Times New Roman"/>
              </w:rPr>
            </w:pPr>
            <w:r>
              <w:rPr>
                <w:rStyle w:val="15"/>
                <w:rFonts w:ascii="Times New Roman" w:hAnsi="Times New Roman" w:cs="Times New Roman"/>
              </w:rPr>
              <w:t>53</w:t>
            </w:r>
          </w:p>
        </w:tc>
        <w:tc>
          <w:tcPr>
            <w:tcW w:w="864" w:type="dxa"/>
            <w:shd w:val="clear" w:color="auto" w:fill="auto"/>
            <w:vAlign w:val="bottom"/>
          </w:tcPr>
          <w:p w14:paraId="489F86C9">
            <w:pPr>
              <w:spacing w:after="0"/>
              <w:jc w:val="center"/>
              <w:rPr>
                <w:rStyle w:val="15"/>
                <w:rFonts w:ascii="Times New Roman" w:hAnsi="Times New Roman" w:cs="Times New Roman"/>
              </w:rPr>
            </w:pPr>
            <w:r>
              <w:rPr>
                <w:rStyle w:val="15"/>
                <w:rFonts w:ascii="Times New Roman" w:hAnsi="Times New Roman" w:cs="Times New Roman"/>
              </w:rPr>
              <w:t>55</w:t>
            </w:r>
          </w:p>
        </w:tc>
      </w:tr>
      <w:tr w14:paraId="734F0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3471" w:type="dxa"/>
            <w:shd w:val="clear" w:color="auto" w:fill="auto"/>
            <w:vAlign w:val="bottom"/>
          </w:tcPr>
          <w:p w14:paraId="21ADE1BD">
            <w:pPr>
              <w:spacing w:after="0"/>
              <w:rPr>
                <w:rStyle w:val="15"/>
                <w:rFonts w:ascii="Times New Roman" w:hAnsi="Times New Roman" w:cs="Times New Roman"/>
              </w:rPr>
            </w:pPr>
            <w:r>
              <w:rPr>
                <w:rStyle w:val="15"/>
                <w:rFonts w:ascii="Times New Roman" w:hAnsi="Times New Roman" w:cs="Times New Roman"/>
              </w:rPr>
              <w:t>Informacinės technologijos</w:t>
            </w:r>
          </w:p>
        </w:tc>
        <w:tc>
          <w:tcPr>
            <w:tcW w:w="1255" w:type="dxa"/>
            <w:shd w:val="clear" w:color="auto" w:fill="auto"/>
            <w:vAlign w:val="bottom"/>
          </w:tcPr>
          <w:p w14:paraId="26B9E322">
            <w:pPr>
              <w:spacing w:after="0"/>
              <w:jc w:val="center"/>
              <w:rPr>
                <w:rStyle w:val="15"/>
                <w:rFonts w:ascii="Times New Roman" w:hAnsi="Times New Roman" w:cs="Times New Roman"/>
              </w:rPr>
            </w:pPr>
            <w:r>
              <w:rPr>
                <w:rStyle w:val="15"/>
                <w:rFonts w:ascii="Times New Roman" w:hAnsi="Times New Roman" w:cs="Times New Roman"/>
              </w:rPr>
              <w:t>65</w:t>
            </w:r>
          </w:p>
        </w:tc>
        <w:tc>
          <w:tcPr>
            <w:tcW w:w="1062" w:type="dxa"/>
            <w:shd w:val="clear" w:color="auto" w:fill="auto"/>
            <w:vAlign w:val="bottom"/>
          </w:tcPr>
          <w:p w14:paraId="444B502A">
            <w:pPr>
              <w:spacing w:after="0"/>
              <w:jc w:val="center"/>
              <w:rPr>
                <w:rStyle w:val="15"/>
                <w:rFonts w:ascii="Times New Roman" w:hAnsi="Times New Roman" w:cs="Times New Roman"/>
              </w:rPr>
            </w:pPr>
            <w:r>
              <w:rPr>
                <w:rStyle w:val="15"/>
                <w:rFonts w:ascii="Times New Roman" w:hAnsi="Times New Roman" w:cs="Times New Roman"/>
              </w:rPr>
              <w:t>68</w:t>
            </w:r>
          </w:p>
        </w:tc>
        <w:tc>
          <w:tcPr>
            <w:tcW w:w="1063" w:type="dxa"/>
            <w:shd w:val="clear" w:color="auto" w:fill="auto"/>
            <w:vAlign w:val="bottom"/>
          </w:tcPr>
          <w:p w14:paraId="184F39AC">
            <w:pPr>
              <w:spacing w:after="0"/>
              <w:jc w:val="center"/>
              <w:rPr>
                <w:rStyle w:val="15"/>
                <w:rFonts w:ascii="Times New Roman" w:hAnsi="Times New Roman" w:cs="Times New Roman"/>
              </w:rPr>
            </w:pPr>
            <w:r>
              <w:rPr>
                <w:rStyle w:val="15"/>
                <w:rFonts w:ascii="Times New Roman" w:hAnsi="Times New Roman" w:cs="Times New Roman"/>
              </w:rPr>
              <w:t>70</w:t>
            </w:r>
          </w:p>
        </w:tc>
        <w:tc>
          <w:tcPr>
            <w:tcW w:w="1254" w:type="dxa"/>
            <w:shd w:val="clear" w:color="auto" w:fill="auto"/>
            <w:vAlign w:val="bottom"/>
          </w:tcPr>
          <w:p w14:paraId="326429DE">
            <w:pPr>
              <w:spacing w:after="0"/>
              <w:jc w:val="center"/>
              <w:rPr>
                <w:rStyle w:val="15"/>
                <w:rFonts w:ascii="Times New Roman" w:hAnsi="Times New Roman" w:cs="Times New Roman"/>
              </w:rPr>
            </w:pPr>
            <w:r>
              <w:rPr>
                <w:rStyle w:val="15"/>
                <w:rFonts w:ascii="Times New Roman" w:hAnsi="Times New Roman" w:cs="Times New Roman"/>
              </w:rPr>
              <w:t>45</w:t>
            </w:r>
          </w:p>
        </w:tc>
        <w:tc>
          <w:tcPr>
            <w:tcW w:w="1062" w:type="dxa"/>
            <w:gridSpan w:val="2"/>
            <w:shd w:val="clear" w:color="auto" w:fill="auto"/>
            <w:vAlign w:val="bottom"/>
          </w:tcPr>
          <w:p w14:paraId="47A6EDD5">
            <w:pPr>
              <w:spacing w:after="0"/>
              <w:jc w:val="center"/>
              <w:rPr>
                <w:rStyle w:val="15"/>
                <w:rFonts w:ascii="Times New Roman" w:hAnsi="Times New Roman" w:cs="Times New Roman"/>
              </w:rPr>
            </w:pPr>
            <w:r>
              <w:rPr>
                <w:rStyle w:val="15"/>
                <w:rFonts w:ascii="Times New Roman" w:hAnsi="Times New Roman" w:cs="Times New Roman"/>
              </w:rPr>
              <w:t>48</w:t>
            </w:r>
          </w:p>
        </w:tc>
        <w:tc>
          <w:tcPr>
            <w:tcW w:w="864" w:type="dxa"/>
            <w:shd w:val="clear" w:color="auto" w:fill="auto"/>
            <w:vAlign w:val="bottom"/>
          </w:tcPr>
          <w:p w14:paraId="69FEE974">
            <w:pPr>
              <w:spacing w:after="0"/>
              <w:jc w:val="center"/>
              <w:rPr>
                <w:rStyle w:val="15"/>
                <w:rFonts w:ascii="Times New Roman" w:hAnsi="Times New Roman" w:cs="Times New Roman"/>
              </w:rPr>
            </w:pPr>
            <w:r>
              <w:rPr>
                <w:rStyle w:val="15"/>
                <w:rFonts w:ascii="Times New Roman" w:hAnsi="Times New Roman" w:cs="Times New Roman"/>
              </w:rPr>
              <w:t>50</w:t>
            </w:r>
          </w:p>
        </w:tc>
      </w:tr>
      <w:tr w14:paraId="6FC8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3471" w:type="dxa"/>
            <w:shd w:val="clear" w:color="auto" w:fill="auto"/>
            <w:vAlign w:val="bottom"/>
          </w:tcPr>
          <w:p w14:paraId="3A0A6A71">
            <w:pPr>
              <w:spacing w:after="0"/>
              <w:rPr>
                <w:rStyle w:val="15"/>
                <w:rFonts w:ascii="Times New Roman" w:hAnsi="Times New Roman" w:cs="Times New Roman"/>
              </w:rPr>
            </w:pPr>
            <w:r>
              <w:rPr>
                <w:rStyle w:val="15"/>
                <w:rFonts w:ascii="Times New Roman" w:hAnsi="Times New Roman" w:cs="Times New Roman"/>
              </w:rPr>
              <w:t>Gamtamokslinis ugdymas</w:t>
            </w:r>
          </w:p>
        </w:tc>
        <w:tc>
          <w:tcPr>
            <w:tcW w:w="1255" w:type="dxa"/>
            <w:shd w:val="clear" w:color="auto" w:fill="auto"/>
            <w:vAlign w:val="bottom"/>
          </w:tcPr>
          <w:p w14:paraId="3CA2512F">
            <w:pPr>
              <w:spacing w:after="0"/>
              <w:jc w:val="center"/>
              <w:rPr>
                <w:rStyle w:val="15"/>
                <w:rFonts w:ascii="Times New Roman" w:hAnsi="Times New Roman" w:cs="Times New Roman"/>
              </w:rPr>
            </w:pPr>
            <w:r>
              <w:rPr>
                <w:rStyle w:val="15"/>
                <w:rFonts w:ascii="Times New Roman" w:hAnsi="Times New Roman" w:cs="Times New Roman"/>
              </w:rPr>
              <w:t>65</w:t>
            </w:r>
          </w:p>
        </w:tc>
        <w:tc>
          <w:tcPr>
            <w:tcW w:w="1062" w:type="dxa"/>
            <w:shd w:val="clear" w:color="auto" w:fill="auto"/>
            <w:vAlign w:val="bottom"/>
          </w:tcPr>
          <w:p w14:paraId="3A1153A3">
            <w:pPr>
              <w:spacing w:after="0"/>
              <w:jc w:val="center"/>
              <w:rPr>
                <w:rStyle w:val="15"/>
                <w:rFonts w:ascii="Times New Roman" w:hAnsi="Times New Roman" w:cs="Times New Roman"/>
              </w:rPr>
            </w:pPr>
            <w:r>
              <w:rPr>
                <w:rStyle w:val="15"/>
                <w:rFonts w:ascii="Times New Roman" w:hAnsi="Times New Roman" w:cs="Times New Roman"/>
              </w:rPr>
              <w:t>68</w:t>
            </w:r>
          </w:p>
        </w:tc>
        <w:tc>
          <w:tcPr>
            <w:tcW w:w="1063" w:type="dxa"/>
            <w:shd w:val="clear" w:color="auto" w:fill="auto"/>
            <w:vAlign w:val="bottom"/>
          </w:tcPr>
          <w:p w14:paraId="45C26CB5">
            <w:pPr>
              <w:spacing w:after="0"/>
              <w:jc w:val="center"/>
              <w:rPr>
                <w:rStyle w:val="15"/>
                <w:rFonts w:ascii="Times New Roman" w:hAnsi="Times New Roman" w:cs="Times New Roman"/>
              </w:rPr>
            </w:pPr>
            <w:r>
              <w:rPr>
                <w:rStyle w:val="15"/>
                <w:rFonts w:ascii="Times New Roman" w:hAnsi="Times New Roman" w:cs="Times New Roman"/>
              </w:rPr>
              <w:t>70</w:t>
            </w:r>
          </w:p>
        </w:tc>
        <w:tc>
          <w:tcPr>
            <w:tcW w:w="1254" w:type="dxa"/>
            <w:shd w:val="clear" w:color="auto" w:fill="auto"/>
            <w:vAlign w:val="bottom"/>
          </w:tcPr>
          <w:p w14:paraId="4ED12316">
            <w:pPr>
              <w:spacing w:after="0"/>
              <w:jc w:val="center"/>
              <w:rPr>
                <w:rStyle w:val="15"/>
                <w:rFonts w:ascii="Times New Roman" w:hAnsi="Times New Roman" w:cs="Times New Roman"/>
              </w:rPr>
            </w:pPr>
            <w:r>
              <w:rPr>
                <w:rStyle w:val="15"/>
                <w:rFonts w:ascii="Times New Roman" w:hAnsi="Times New Roman" w:cs="Times New Roman"/>
              </w:rPr>
              <w:t>45</w:t>
            </w:r>
          </w:p>
        </w:tc>
        <w:tc>
          <w:tcPr>
            <w:tcW w:w="1062" w:type="dxa"/>
            <w:gridSpan w:val="2"/>
            <w:shd w:val="clear" w:color="auto" w:fill="auto"/>
            <w:vAlign w:val="bottom"/>
          </w:tcPr>
          <w:p w14:paraId="483BD9D5">
            <w:pPr>
              <w:spacing w:after="0"/>
              <w:jc w:val="center"/>
              <w:rPr>
                <w:rStyle w:val="15"/>
                <w:rFonts w:ascii="Times New Roman" w:hAnsi="Times New Roman" w:cs="Times New Roman"/>
              </w:rPr>
            </w:pPr>
            <w:r>
              <w:rPr>
                <w:rStyle w:val="15"/>
                <w:rFonts w:ascii="Times New Roman" w:hAnsi="Times New Roman" w:cs="Times New Roman"/>
              </w:rPr>
              <w:t>48</w:t>
            </w:r>
          </w:p>
        </w:tc>
        <w:tc>
          <w:tcPr>
            <w:tcW w:w="864" w:type="dxa"/>
            <w:shd w:val="clear" w:color="auto" w:fill="auto"/>
            <w:vAlign w:val="bottom"/>
          </w:tcPr>
          <w:p w14:paraId="3B20AE39">
            <w:pPr>
              <w:spacing w:after="0"/>
              <w:jc w:val="center"/>
              <w:rPr>
                <w:rStyle w:val="15"/>
                <w:rFonts w:ascii="Times New Roman" w:hAnsi="Times New Roman" w:cs="Times New Roman"/>
              </w:rPr>
            </w:pPr>
            <w:r>
              <w:rPr>
                <w:rStyle w:val="15"/>
                <w:rFonts w:ascii="Times New Roman" w:hAnsi="Times New Roman" w:cs="Times New Roman"/>
              </w:rPr>
              <w:t>50</w:t>
            </w:r>
          </w:p>
        </w:tc>
      </w:tr>
      <w:tr w14:paraId="59A7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3471" w:type="dxa"/>
            <w:shd w:val="clear" w:color="auto" w:fill="auto"/>
            <w:vAlign w:val="bottom"/>
          </w:tcPr>
          <w:p w14:paraId="7F816BA5">
            <w:pPr>
              <w:spacing w:after="0"/>
              <w:rPr>
                <w:rStyle w:val="15"/>
                <w:rFonts w:ascii="Times New Roman" w:hAnsi="Times New Roman" w:cs="Times New Roman"/>
              </w:rPr>
            </w:pPr>
            <w:r>
              <w:rPr>
                <w:rStyle w:val="15"/>
                <w:rFonts w:ascii="Times New Roman" w:hAnsi="Times New Roman" w:cs="Times New Roman"/>
              </w:rPr>
              <w:t>Socialinis ugdymas</w:t>
            </w:r>
          </w:p>
        </w:tc>
        <w:tc>
          <w:tcPr>
            <w:tcW w:w="1255" w:type="dxa"/>
            <w:shd w:val="clear" w:color="auto" w:fill="auto"/>
            <w:vAlign w:val="bottom"/>
          </w:tcPr>
          <w:p w14:paraId="230BA4D6">
            <w:pPr>
              <w:spacing w:after="0"/>
              <w:jc w:val="center"/>
              <w:rPr>
                <w:rStyle w:val="15"/>
                <w:rFonts w:ascii="Times New Roman" w:hAnsi="Times New Roman" w:cs="Times New Roman"/>
              </w:rPr>
            </w:pPr>
            <w:r>
              <w:rPr>
                <w:rStyle w:val="15"/>
                <w:rFonts w:ascii="Times New Roman" w:hAnsi="Times New Roman" w:cs="Times New Roman"/>
              </w:rPr>
              <w:t>65</w:t>
            </w:r>
          </w:p>
        </w:tc>
        <w:tc>
          <w:tcPr>
            <w:tcW w:w="1062" w:type="dxa"/>
            <w:shd w:val="clear" w:color="auto" w:fill="auto"/>
            <w:vAlign w:val="bottom"/>
          </w:tcPr>
          <w:p w14:paraId="10BF5E04">
            <w:pPr>
              <w:spacing w:after="0"/>
              <w:jc w:val="center"/>
              <w:rPr>
                <w:rStyle w:val="15"/>
                <w:rFonts w:ascii="Times New Roman" w:hAnsi="Times New Roman" w:cs="Times New Roman"/>
              </w:rPr>
            </w:pPr>
            <w:r>
              <w:rPr>
                <w:rStyle w:val="15"/>
                <w:rFonts w:ascii="Times New Roman" w:hAnsi="Times New Roman" w:cs="Times New Roman"/>
              </w:rPr>
              <w:t>68</w:t>
            </w:r>
          </w:p>
        </w:tc>
        <w:tc>
          <w:tcPr>
            <w:tcW w:w="1063" w:type="dxa"/>
            <w:shd w:val="clear" w:color="auto" w:fill="auto"/>
            <w:vAlign w:val="bottom"/>
          </w:tcPr>
          <w:p w14:paraId="188682BE">
            <w:pPr>
              <w:spacing w:after="0"/>
              <w:jc w:val="center"/>
              <w:rPr>
                <w:rStyle w:val="15"/>
                <w:rFonts w:ascii="Times New Roman" w:hAnsi="Times New Roman" w:cs="Times New Roman"/>
              </w:rPr>
            </w:pPr>
            <w:r>
              <w:rPr>
                <w:rStyle w:val="15"/>
                <w:rFonts w:ascii="Times New Roman" w:hAnsi="Times New Roman" w:cs="Times New Roman"/>
              </w:rPr>
              <w:t>70</w:t>
            </w:r>
          </w:p>
        </w:tc>
        <w:tc>
          <w:tcPr>
            <w:tcW w:w="1254" w:type="dxa"/>
            <w:shd w:val="clear" w:color="auto" w:fill="auto"/>
            <w:vAlign w:val="bottom"/>
          </w:tcPr>
          <w:p w14:paraId="7B526AD7">
            <w:pPr>
              <w:spacing w:after="0"/>
              <w:jc w:val="center"/>
              <w:rPr>
                <w:rStyle w:val="15"/>
                <w:rFonts w:ascii="Times New Roman" w:hAnsi="Times New Roman" w:cs="Times New Roman"/>
              </w:rPr>
            </w:pPr>
            <w:r>
              <w:rPr>
                <w:rStyle w:val="15"/>
                <w:rFonts w:ascii="Times New Roman" w:hAnsi="Times New Roman" w:cs="Times New Roman"/>
              </w:rPr>
              <w:t>45</w:t>
            </w:r>
          </w:p>
        </w:tc>
        <w:tc>
          <w:tcPr>
            <w:tcW w:w="1062" w:type="dxa"/>
            <w:gridSpan w:val="2"/>
            <w:shd w:val="clear" w:color="auto" w:fill="auto"/>
            <w:vAlign w:val="bottom"/>
          </w:tcPr>
          <w:p w14:paraId="23D9C6AC">
            <w:pPr>
              <w:spacing w:after="0"/>
              <w:jc w:val="center"/>
              <w:rPr>
                <w:rStyle w:val="15"/>
                <w:rFonts w:ascii="Times New Roman" w:hAnsi="Times New Roman" w:cs="Times New Roman"/>
              </w:rPr>
            </w:pPr>
            <w:r>
              <w:rPr>
                <w:rStyle w:val="15"/>
                <w:rFonts w:ascii="Times New Roman" w:hAnsi="Times New Roman" w:cs="Times New Roman"/>
              </w:rPr>
              <w:t>48</w:t>
            </w:r>
          </w:p>
        </w:tc>
        <w:tc>
          <w:tcPr>
            <w:tcW w:w="864" w:type="dxa"/>
            <w:shd w:val="clear" w:color="auto" w:fill="auto"/>
            <w:vAlign w:val="bottom"/>
          </w:tcPr>
          <w:p w14:paraId="74A78508">
            <w:pPr>
              <w:spacing w:after="0"/>
              <w:jc w:val="center"/>
              <w:rPr>
                <w:rStyle w:val="15"/>
                <w:rFonts w:ascii="Times New Roman" w:hAnsi="Times New Roman" w:cs="Times New Roman"/>
              </w:rPr>
            </w:pPr>
            <w:r>
              <w:rPr>
                <w:rStyle w:val="15"/>
                <w:rFonts w:ascii="Times New Roman" w:hAnsi="Times New Roman" w:cs="Times New Roman"/>
              </w:rPr>
              <w:t>50</w:t>
            </w:r>
          </w:p>
        </w:tc>
      </w:tr>
      <w:tr w14:paraId="2EE9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471" w:type="dxa"/>
            <w:shd w:val="clear" w:color="auto" w:fill="auto"/>
            <w:vAlign w:val="bottom"/>
          </w:tcPr>
          <w:p w14:paraId="064848C1">
            <w:pPr>
              <w:spacing w:after="0"/>
              <w:rPr>
                <w:rStyle w:val="15"/>
                <w:rFonts w:ascii="Times New Roman" w:hAnsi="Times New Roman" w:cs="Times New Roman"/>
              </w:rPr>
            </w:pPr>
            <w:r>
              <w:rPr>
                <w:rStyle w:val="15"/>
                <w:rFonts w:ascii="Times New Roman" w:hAnsi="Times New Roman" w:cs="Times New Roman"/>
              </w:rPr>
              <w:t>Menai, technologijos, kūno kultūra, kiti dalykai</w:t>
            </w:r>
          </w:p>
        </w:tc>
        <w:tc>
          <w:tcPr>
            <w:tcW w:w="1255" w:type="dxa"/>
            <w:shd w:val="clear" w:color="auto" w:fill="auto"/>
            <w:vAlign w:val="bottom"/>
          </w:tcPr>
          <w:p w14:paraId="1E1BC1D2">
            <w:pPr>
              <w:spacing w:after="0"/>
              <w:jc w:val="center"/>
              <w:rPr>
                <w:rStyle w:val="15"/>
                <w:rFonts w:ascii="Times New Roman" w:hAnsi="Times New Roman" w:cs="Times New Roman"/>
              </w:rPr>
            </w:pPr>
            <w:r>
              <w:rPr>
                <w:rStyle w:val="15"/>
                <w:rFonts w:ascii="Times New Roman" w:hAnsi="Times New Roman" w:cs="Times New Roman"/>
              </w:rPr>
              <w:t>60</w:t>
            </w:r>
          </w:p>
        </w:tc>
        <w:tc>
          <w:tcPr>
            <w:tcW w:w="1062" w:type="dxa"/>
            <w:shd w:val="clear" w:color="auto" w:fill="auto"/>
            <w:vAlign w:val="bottom"/>
          </w:tcPr>
          <w:p w14:paraId="29E7677D">
            <w:pPr>
              <w:spacing w:after="0"/>
              <w:jc w:val="center"/>
              <w:rPr>
                <w:rStyle w:val="15"/>
                <w:rFonts w:ascii="Times New Roman" w:hAnsi="Times New Roman" w:cs="Times New Roman"/>
              </w:rPr>
            </w:pPr>
            <w:r>
              <w:rPr>
                <w:rStyle w:val="15"/>
                <w:rFonts w:ascii="Times New Roman" w:hAnsi="Times New Roman" w:cs="Times New Roman"/>
              </w:rPr>
              <w:t>62</w:t>
            </w:r>
          </w:p>
        </w:tc>
        <w:tc>
          <w:tcPr>
            <w:tcW w:w="1063" w:type="dxa"/>
            <w:shd w:val="clear" w:color="auto" w:fill="auto"/>
            <w:vAlign w:val="bottom"/>
          </w:tcPr>
          <w:p w14:paraId="2D79E3DA">
            <w:pPr>
              <w:spacing w:after="0"/>
              <w:jc w:val="center"/>
              <w:rPr>
                <w:rStyle w:val="15"/>
                <w:rFonts w:ascii="Times New Roman" w:hAnsi="Times New Roman" w:cs="Times New Roman"/>
              </w:rPr>
            </w:pPr>
            <w:r>
              <w:rPr>
                <w:rStyle w:val="15"/>
                <w:rFonts w:ascii="Times New Roman" w:hAnsi="Times New Roman" w:cs="Times New Roman"/>
              </w:rPr>
              <w:t>64</w:t>
            </w:r>
          </w:p>
        </w:tc>
        <w:tc>
          <w:tcPr>
            <w:tcW w:w="1254" w:type="dxa"/>
            <w:shd w:val="clear" w:color="auto" w:fill="auto"/>
            <w:vAlign w:val="bottom"/>
          </w:tcPr>
          <w:p w14:paraId="3826F9F0">
            <w:pPr>
              <w:spacing w:after="0"/>
              <w:jc w:val="center"/>
              <w:rPr>
                <w:rStyle w:val="15"/>
                <w:rFonts w:ascii="Times New Roman" w:hAnsi="Times New Roman" w:cs="Times New Roman"/>
              </w:rPr>
            </w:pPr>
            <w:r>
              <w:rPr>
                <w:rStyle w:val="15"/>
                <w:rFonts w:ascii="Times New Roman" w:hAnsi="Times New Roman" w:cs="Times New Roman"/>
              </w:rPr>
              <w:t>40</w:t>
            </w:r>
          </w:p>
        </w:tc>
        <w:tc>
          <w:tcPr>
            <w:tcW w:w="1062" w:type="dxa"/>
            <w:gridSpan w:val="2"/>
            <w:shd w:val="clear" w:color="auto" w:fill="auto"/>
            <w:vAlign w:val="bottom"/>
          </w:tcPr>
          <w:p w14:paraId="4A4F3A90">
            <w:pPr>
              <w:spacing w:after="0"/>
              <w:jc w:val="center"/>
              <w:rPr>
                <w:rStyle w:val="15"/>
                <w:rFonts w:ascii="Times New Roman" w:hAnsi="Times New Roman" w:cs="Times New Roman"/>
              </w:rPr>
            </w:pPr>
            <w:r>
              <w:rPr>
                <w:rStyle w:val="15"/>
                <w:rFonts w:ascii="Times New Roman" w:hAnsi="Times New Roman" w:cs="Times New Roman"/>
              </w:rPr>
              <w:t>42</w:t>
            </w:r>
          </w:p>
        </w:tc>
        <w:tc>
          <w:tcPr>
            <w:tcW w:w="864" w:type="dxa"/>
            <w:shd w:val="clear" w:color="auto" w:fill="auto"/>
            <w:vAlign w:val="bottom"/>
          </w:tcPr>
          <w:p w14:paraId="5C868000">
            <w:pPr>
              <w:spacing w:after="0"/>
              <w:jc w:val="center"/>
              <w:rPr>
                <w:rStyle w:val="15"/>
                <w:rFonts w:ascii="Times New Roman" w:hAnsi="Times New Roman" w:cs="Times New Roman"/>
              </w:rPr>
            </w:pPr>
            <w:r>
              <w:rPr>
                <w:rStyle w:val="15"/>
                <w:rFonts w:ascii="Times New Roman" w:hAnsi="Times New Roman" w:cs="Times New Roman"/>
              </w:rPr>
              <w:t>44</w:t>
            </w:r>
          </w:p>
        </w:tc>
      </w:tr>
      <w:tr w14:paraId="3E17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3471" w:type="dxa"/>
            <w:shd w:val="clear" w:color="auto" w:fill="auto"/>
            <w:vAlign w:val="bottom"/>
          </w:tcPr>
          <w:p w14:paraId="4B9822B7">
            <w:pPr>
              <w:spacing w:after="0"/>
              <w:rPr>
                <w:rStyle w:val="15"/>
                <w:rFonts w:ascii="Times New Roman" w:hAnsi="Times New Roman" w:cs="Times New Roman"/>
              </w:rPr>
            </w:pPr>
            <w:r>
              <w:rPr>
                <w:rStyle w:val="15"/>
                <w:rFonts w:ascii="Times New Roman" w:hAnsi="Times New Roman" w:cs="Times New Roman"/>
              </w:rPr>
              <w:t>Neformaliojo švietimo</w:t>
            </w:r>
          </w:p>
        </w:tc>
        <w:tc>
          <w:tcPr>
            <w:tcW w:w="1255" w:type="dxa"/>
            <w:shd w:val="clear" w:color="auto" w:fill="auto"/>
            <w:vAlign w:val="bottom"/>
          </w:tcPr>
          <w:p w14:paraId="267893F5">
            <w:pPr>
              <w:spacing w:after="0"/>
              <w:jc w:val="center"/>
              <w:rPr>
                <w:rStyle w:val="15"/>
                <w:rFonts w:ascii="Times New Roman" w:hAnsi="Times New Roman" w:cs="Times New Roman"/>
              </w:rPr>
            </w:pPr>
            <w:r>
              <w:rPr>
                <w:rStyle w:val="15"/>
                <w:rFonts w:ascii="Times New Roman" w:hAnsi="Times New Roman" w:cs="Times New Roman"/>
              </w:rPr>
              <w:t>55</w:t>
            </w:r>
          </w:p>
        </w:tc>
        <w:tc>
          <w:tcPr>
            <w:tcW w:w="1062" w:type="dxa"/>
            <w:shd w:val="clear" w:color="auto" w:fill="auto"/>
            <w:vAlign w:val="bottom"/>
          </w:tcPr>
          <w:p w14:paraId="7AD0F0CC">
            <w:pPr>
              <w:spacing w:after="0"/>
              <w:jc w:val="center"/>
              <w:rPr>
                <w:rStyle w:val="15"/>
                <w:rFonts w:ascii="Times New Roman" w:hAnsi="Times New Roman" w:cs="Times New Roman"/>
              </w:rPr>
            </w:pPr>
            <w:r>
              <w:rPr>
                <w:rStyle w:val="15"/>
                <w:rFonts w:ascii="Times New Roman" w:hAnsi="Times New Roman" w:cs="Times New Roman"/>
              </w:rPr>
              <w:t>60</w:t>
            </w:r>
          </w:p>
        </w:tc>
        <w:tc>
          <w:tcPr>
            <w:tcW w:w="1063" w:type="dxa"/>
            <w:shd w:val="clear" w:color="auto" w:fill="auto"/>
            <w:vAlign w:val="bottom"/>
          </w:tcPr>
          <w:p w14:paraId="3CB2B74C">
            <w:pPr>
              <w:spacing w:after="0"/>
              <w:jc w:val="center"/>
              <w:rPr>
                <w:rStyle w:val="15"/>
                <w:rFonts w:ascii="Times New Roman" w:hAnsi="Times New Roman" w:cs="Times New Roman"/>
              </w:rPr>
            </w:pPr>
            <w:r>
              <w:rPr>
                <w:rStyle w:val="15"/>
                <w:rFonts w:ascii="Times New Roman" w:hAnsi="Times New Roman" w:cs="Times New Roman"/>
              </w:rPr>
              <w:t>64</w:t>
            </w:r>
          </w:p>
        </w:tc>
        <w:tc>
          <w:tcPr>
            <w:tcW w:w="1254" w:type="dxa"/>
            <w:shd w:val="clear" w:color="auto" w:fill="auto"/>
            <w:vAlign w:val="bottom"/>
          </w:tcPr>
          <w:p w14:paraId="2F2EBBBF">
            <w:pPr>
              <w:spacing w:after="0"/>
              <w:jc w:val="center"/>
              <w:rPr>
                <w:rStyle w:val="15"/>
                <w:rFonts w:ascii="Times New Roman" w:hAnsi="Times New Roman" w:cs="Times New Roman"/>
              </w:rPr>
            </w:pPr>
            <w:r>
              <w:rPr>
                <w:rStyle w:val="15"/>
                <w:rFonts w:ascii="Times New Roman" w:hAnsi="Times New Roman" w:cs="Times New Roman"/>
              </w:rPr>
              <w:t>40</w:t>
            </w:r>
          </w:p>
        </w:tc>
        <w:tc>
          <w:tcPr>
            <w:tcW w:w="1062" w:type="dxa"/>
            <w:gridSpan w:val="2"/>
            <w:shd w:val="clear" w:color="auto" w:fill="auto"/>
            <w:vAlign w:val="bottom"/>
          </w:tcPr>
          <w:p w14:paraId="2EE55FC3">
            <w:pPr>
              <w:spacing w:after="0"/>
              <w:jc w:val="center"/>
              <w:rPr>
                <w:rStyle w:val="15"/>
                <w:rFonts w:ascii="Times New Roman" w:hAnsi="Times New Roman" w:cs="Times New Roman"/>
              </w:rPr>
            </w:pPr>
            <w:r>
              <w:rPr>
                <w:rStyle w:val="15"/>
                <w:rFonts w:ascii="Times New Roman" w:hAnsi="Times New Roman" w:cs="Times New Roman"/>
              </w:rPr>
              <w:t>42</w:t>
            </w:r>
          </w:p>
        </w:tc>
        <w:tc>
          <w:tcPr>
            <w:tcW w:w="864" w:type="dxa"/>
            <w:shd w:val="clear" w:color="auto" w:fill="auto"/>
            <w:vAlign w:val="bottom"/>
          </w:tcPr>
          <w:p w14:paraId="3097795B">
            <w:pPr>
              <w:spacing w:after="0"/>
              <w:jc w:val="center"/>
              <w:rPr>
                <w:rStyle w:val="15"/>
                <w:rFonts w:ascii="Times New Roman" w:hAnsi="Times New Roman" w:cs="Times New Roman"/>
              </w:rPr>
            </w:pPr>
            <w:r>
              <w:rPr>
                <w:rStyle w:val="15"/>
                <w:rFonts w:ascii="Times New Roman" w:hAnsi="Times New Roman" w:cs="Times New Roman"/>
              </w:rPr>
              <w:t>44</w:t>
            </w:r>
          </w:p>
        </w:tc>
      </w:tr>
    </w:tbl>
    <w:p w14:paraId="4D314506">
      <w:pPr>
        <w:pStyle w:val="32"/>
        <w:tabs>
          <w:tab w:val="left" w:pos="1276"/>
        </w:tabs>
        <w:spacing w:after="0" w:line="240" w:lineRule="auto"/>
        <w:ind w:left="851"/>
        <w:contextualSpacing/>
        <w:rPr>
          <w:rFonts w:ascii="Times New Roman" w:hAnsi="Times New Roman" w:cs="Times New Roman"/>
          <w:sz w:val="24"/>
          <w:szCs w:val="24"/>
        </w:rPr>
      </w:pPr>
    </w:p>
    <w:p w14:paraId="594A158F">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Veiklų, susijusių su profesiniu tobulėjimu, veiklų bendruomenei sąrašas ir veikloms skiriamas valandų skaičius aptariamas dalykų mokytojų metodinėse grupėse ir patvirtinamas bendru gimnazijos metodinės tarybos ir Darbo tarybos protokolu. Šis sąrašas yra sistemos priedas (priedas Nr.1) ir gali būti atskirai tikslinamas esant poreikiui.</w:t>
      </w:r>
    </w:p>
    <w:p w14:paraId="7631E0FA">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 xml:space="preserve">Privalomoms veikloms bendruomenei ir profesiniam tobulėjimui skiriama 102 val. etatui; mokytojui, turinčiam dalį etato, gali būti proporcingai skiriama mažiau valandų veikloms bendruomenei ir profesiniam tobulėjimui. </w:t>
      </w:r>
    </w:p>
    <w:p w14:paraId="01056EE5">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Veiklos, kurios sulygstamos su mokytoju individualiai (iki 400 valandų per metus etatui), atsižvelgiant į jo turimą kvalifikacinę kategoriją, atliekamas funkcijas, numatytas pareigybės aprašyme, į mokyklos tikslus ir uždavinius.</w:t>
      </w:r>
    </w:p>
    <w:p w14:paraId="24CE5724">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Mokytojų, dirbančių pagal bendrojo ugdymo, profesinio mokymo ir neformaliojo švietimo programas (išskyrus ikimokyklinio ir priešmokyklinio ugdymo programas), darbo laikas per savaitę yra 36 valandos.</w:t>
      </w:r>
    </w:p>
    <w:p w14:paraId="1D0E9EE6">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Mokytojų, dirbančių pagal ikimokyklinio ir priešmokyklinio ugdymo programą, darbo laikas per savaitę yra 36 valandos, iš jų 30 valandų skiriama tiesioginiam darbui su mokiniais, 6 valandos – netiesioginiam darbui su mokiniais (darbams planuoti, dokumentams, susijusiems su ugdymu, rengti, bendradarbiauti su mokytojais, tėvais (globėjais) ugdymo klausimais ir kt.).</w:t>
      </w:r>
    </w:p>
    <w:p w14:paraId="55872D77">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specialiųjų pedagogų, logopedų, dirbančių su ikimokyklinio ir priešmokyklinio amžiaus vaikais, – 36 valandos, iš jų 22 valandos skiriamos tiesioginiam darbui su vaikais, mokiniais (vaikų, mokinių specialiesiems ugdymosi poreikiams įvertinti, specialiosioms pratyboms vesti), 14 valandų – netiesioginiam darbui su vaikais, mokiniais (veikloms planuoti ir joms pasirengti, dokumentams rengti, bendradarbiauti su mokytojais, kitais ugdymo procese dalyvaujančiais asmenimis, vaikų, mokinių tėvais (globėjais, rūpintojais) ugdymo ir (ar) švietimo pagalbos klausimais ir kt.);</w:t>
      </w:r>
    </w:p>
    <w:p w14:paraId="32A5B225">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specialiųjų pedagogų, logopedų, dirbančių su mokyklinio amžiaus vaikais, – 36 valandos, iš jų 18 valandų skiriama tiesioginiam darbui su vaikais, mokiniais (vaikų, mokinių specialiesiems ugdymosi poreikiams įvertinti, specialiosioms pratyboms vesti), 18 valandų – netiesioginiam darbui su vaikais, mokiniais (veikloms planuoti ir joms pasirengti, dokumentams rengti, bendradarbiauti su mokytojais, kitais ugdymo procese dalyvaujančiais asmenimis, vaikų, mokinių tėvais (globėjais, rūpintojais) ugdymo ir (ar) švietimo pagalbos klausimais ir kt.);</w:t>
      </w:r>
    </w:p>
    <w:p w14:paraId="028ACB43">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Mokyklose dirbančių psichologų asistentų, psichologų, socialinių pedagogų darbo laikas per savaitę yra 36 valandos. Ne daugiau kaip 60 procentų šių darbuotojų darbo laiko skiriama tiesioginiam švietimo pagalbos darbui: vaikų, mokinių švietimo pagalbos ir (arba) specialiesiems ugdymosi poreikiams įvertinti, vaikams, mokiniams, jų tėvams (globėjams, rūpintojams) konsultuoti, taip pat Lietuvos Respublikos švietimo įstatymo 231 straipsnio 4 dalyje nustatytais atvejais – mokytojams ir kitiems švietimo įstaigos darbuotojams konsultuoti, vesti jiems užsiėmimus, o kita jų darbo laiko dalis skiriama netiesioginiam švietimo pagalbos darbui: veikloms planuoti ir joms pasirengti, dokumentams rengti, bendradarbiauti su mokytojais, vaikų, mokinių tėvais (globėjais, rūpintojais), kitais asmenimis ugdymo ir (arba) švietimo pagalbos klausimais ir kt.</w:t>
      </w:r>
    </w:p>
    <w:p w14:paraId="06D15FC8">
      <w:pPr>
        <w:pStyle w:val="32"/>
        <w:tabs>
          <w:tab w:val="left" w:pos="1276"/>
        </w:tabs>
        <w:spacing w:after="0" w:line="240" w:lineRule="auto"/>
        <w:ind w:left="1571"/>
        <w:jc w:val="center"/>
        <w:rPr>
          <w:rFonts w:ascii="Times New Roman" w:hAnsi="Times New Roman" w:cs="Times New Roman"/>
          <w:b/>
          <w:bCs/>
          <w:sz w:val="24"/>
          <w:szCs w:val="24"/>
        </w:rPr>
      </w:pPr>
    </w:p>
    <w:p w14:paraId="15C8A7DE">
      <w:pPr>
        <w:pStyle w:val="32"/>
        <w:tabs>
          <w:tab w:val="left" w:pos="1276"/>
        </w:tabs>
        <w:spacing w:after="0" w:line="240" w:lineRule="auto"/>
        <w:ind w:left="1571"/>
        <w:jc w:val="center"/>
        <w:rPr>
          <w:rFonts w:ascii="Times New Roman" w:hAnsi="Times New Roman" w:cs="Times New Roman"/>
          <w:b/>
          <w:bCs/>
          <w:sz w:val="24"/>
          <w:szCs w:val="24"/>
        </w:rPr>
      </w:pPr>
      <w:r>
        <w:rPr>
          <w:rFonts w:ascii="Times New Roman" w:hAnsi="Times New Roman" w:cs="Times New Roman"/>
          <w:b/>
          <w:bCs/>
          <w:sz w:val="24"/>
          <w:szCs w:val="24"/>
        </w:rPr>
        <w:t>V SKYRIUS</w:t>
      </w:r>
    </w:p>
    <w:p w14:paraId="4DDCAEBD">
      <w:pPr>
        <w:pStyle w:val="32"/>
        <w:tabs>
          <w:tab w:val="left" w:pos="1276"/>
        </w:tabs>
        <w:spacing w:after="0" w:line="240" w:lineRule="auto"/>
        <w:ind w:left="1571"/>
        <w:jc w:val="center"/>
        <w:rPr>
          <w:rFonts w:ascii="Times New Roman" w:hAnsi="Times New Roman" w:cs="Times New Roman"/>
          <w:b/>
          <w:bCs/>
          <w:sz w:val="24"/>
          <w:szCs w:val="24"/>
        </w:rPr>
      </w:pPr>
      <w:r>
        <w:rPr>
          <w:rFonts w:ascii="Times New Roman" w:hAnsi="Times New Roman" w:cs="Times New Roman"/>
          <w:b/>
          <w:bCs/>
          <w:sz w:val="24"/>
          <w:szCs w:val="24"/>
        </w:rPr>
        <w:t>BAIGIAMOSIOS NUOSTATOS</w:t>
      </w:r>
    </w:p>
    <w:p w14:paraId="19125300">
      <w:pPr>
        <w:pStyle w:val="32"/>
        <w:tabs>
          <w:tab w:val="left" w:pos="1276"/>
        </w:tabs>
        <w:spacing w:after="0" w:line="240" w:lineRule="auto"/>
        <w:ind w:left="851"/>
        <w:contextualSpacing/>
        <w:rPr>
          <w:rFonts w:ascii="Times New Roman" w:hAnsi="Times New Roman" w:cs="Times New Roman"/>
          <w:sz w:val="24"/>
          <w:szCs w:val="24"/>
        </w:rPr>
      </w:pPr>
    </w:p>
    <w:p w14:paraId="3F6CC6DC">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Gimnazijos darbuotojų darbo užmokesčio dydis tikslinamas kiekvienais mokslo metais ir / ar pasikeitus teisės aktams, atitinkamai sistema peržiūrima ne rečiau kaip vieną kartą metuose.</w:t>
      </w:r>
    </w:p>
    <w:p w14:paraId="4B15C993">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Sistema patvirtinta atlikus informavimo ir konsultavimo procedūras su gimnazijos Darbo taryba, laikantis lyčių lygybės ir nediskriminavimo kitais pagrindais principų.</w:t>
      </w:r>
    </w:p>
    <w:p w14:paraId="13C2F3D1">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Visi gimnazijos darbuotojai ir kiti atsakingi asmenys su šia sistema yra supažindinami raštu ir privalo laikytis joje nustatytų įpareigojimų bei atlikdami savo darbo funkcijas vadovautis sistemoje nustatytais principais.</w:t>
      </w:r>
    </w:p>
    <w:p w14:paraId="280043A8">
      <w:pPr>
        <w:pStyle w:val="32"/>
        <w:numPr>
          <w:ilvl w:val="0"/>
          <w:numId w:val="1"/>
        </w:numPr>
        <w:tabs>
          <w:tab w:val="left" w:pos="1276"/>
        </w:tabs>
        <w:spacing w:after="0" w:line="240" w:lineRule="auto"/>
        <w:ind w:left="0"/>
        <w:contextualSpacing/>
        <w:rPr>
          <w:rFonts w:ascii="Times New Roman" w:hAnsi="Times New Roman" w:cs="Times New Roman"/>
          <w:sz w:val="24"/>
          <w:szCs w:val="24"/>
        </w:rPr>
      </w:pPr>
      <w:r>
        <w:rPr>
          <w:rFonts w:ascii="Times New Roman" w:hAnsi="Times New Roman" w:cs="Times New Roman"/>
          <w:sz w:val="24"/>
          <w:szCs w:val="24"/>
        </w:rPr>
        <w:t xml:space="preserve">Gimnazijos direktorius turi teisę iš dalies arba visiškai pakeisti šią sistemą, su pakeitimais supažindinant visus darbuotojus. </w:t>
      </w:r>
    </w:p>
    <w:p w14:paraId="336B873D">
      <w:pPr>
        <w:pStyle w:val="37"/>
        <w:shd w:val="clear" w:color="auto" w:fill="auto"/>
        <w:tabs>
          <w:tab w:val="left" w:pos="1276"/>
        </w:tabs>
        <w:spacing w:before="0" w:line="240" w:lineRule="auto"/>
        <w:ind w:firstLine="851"/>
        <w:jc w:val="center"/>
        <w:rPr>
          <w:rFonts w:ascii="Times New Roman" w:hAnsi="Times New Roman" w:cs="Times New Roman"/>
          <w:sz w:val="24"/>
          <w:szCs w:val="24"/>
          <w:u w:val="single"/>
        </w:rPr>
      </w:pPr>
      <w:r>
        <w:rPr>
          <w:rFonts w:ascii="Times New Roman" w:hAnsi="Times New Roman" w:cs="Times New Roman"/>
          <w:sz w:val="24"/>
          <w:szCs w:val="24"/>
          <w:u w:val="single"/>
        </w:rPr>
        <w:t>__________________________</w:t>
      </w:r>
    </w:p>
    <w:p w14:paraId="49AF621B">
      <w:pPr>
        <w:tabs>
          <w:tab w:val="left" w:pos="900"/>
        </w:tabs>
        <w:rPr>
          <w:rFonts w:ascii="Times New Roman" w:hAnsi="Times New Roman" w:cs="Times New Roman"/>
          <w:color w:val="FF0000"/>
        </w:rPr>
      </w:pPr>
      <w:r>
        <w:rPr>
          <w:rFonts w:ascii="Times New Roman" w:hAnsi="Times New Roman" w:cs="Times New Roman"/>
        </w:rPr>
        <w:tab/>
      </w:r>
    </w:p>
    <w:p w14:paraId="7B0B8ED7">
      <w:pPr>
        <w:tabs>
          <w:tab w:val="left" w:pos="900"/>
        </w:tabs>
        <w:spacing w:after="0"/>
        <w:rPr>
          <w:rStyle w:val="15"/>
          <w:rFonts w:ascii="Times New Roman" w:hAnsi="Times New Roman" w:cs="Times New Roman"/>
          <w:i w:val="0"/>
          <w:sz w:val="24"/>
          <w:szCs w:val="24"/>
        </w:rPr>
      </w:pPr>
      <w:r>
        <w:rPr>
          <w:rStyle w:val="15"/>
          <w:rFonts w:ascii="Times New Roman" w:hAnsi="Times New Roman" w:cs="Times New Roman"/>
          <w:i w:val="0"/>
          <w:sz w:val="24"/>
          <w:szCs w:val="24"/>
        </w:rPr>
        <w:t>SUDERINTA</w:t>
      </w:r>
    </w:p>
    <w:p w14:paraId="05D2CFAF">
      <w:pPr>
        <w:tabs>
          <w:tab w:val="left" w:pos="900"/>
        </w:tabs>
        <w:spacing w:after="0"/>
        <w:rPr>
          <w:rStyle w:val="15"/>
          <w:rFonts w:ascii="Times New Roman" w:hAnsi="Times New Roman" w:cs="Times New Roman"/>
          <w:i w:val="0"/>
          <w:sz w:val="24"/>
          <w:szCs w:val="24"/>
        </w:rPr>
      </w:pPr>
      <w:r>
        <w:rPr>
          <w:rStyle w:val="15"/>
          <w:rFonts w:ascii="Times New Roman" w:hAnsi="Times New Roman" w:cs="Times New Roman"/>
          <w:i w:val="0"/>
          <w:sz w:val="24"/>
          <w:szCs w:val="24"/>
        </w:rPr>
        <w:t xml:space="preserve">Trakų r. Paluknio Longino Komolovskio gimnazijos </w:t>
      </w:r>
    </w:p>
    <w:p w14:paraId="65F4C1AD">
      <w:pPr>
        <w:tabs>
          <w:tab w:val="left" w:pos="900"/>
        </w:tabs>
        <w:spacing w:after="0"/>
        <w:rPr>
          <w:rStyle w:val="15"/>
          <w:rFonts w:ascii="Times New Roman" w:hAnsi="Times New Roman" w:cs="Times New Roman"/>
          <w:i w:val="0"/>
          <w:sz w:val="24"/>
          <w:szCs w:val="24"/>
        </w:rPr>
      </w:pPr>
      <w:r>
        <w:rPr>
          <w:rStyle w:val="15"/>
          <w:rFonts w:ascii="Times New Roman" w:hAnsi="Times New Roman" w:cs="Times New Roman"/>
          <w:i w:val="0"/>
          <w:sz w:val="24"/>
          <w:szCs w:val="24"/>
        </w:rPr>
        <w:t xml:space="preserve">Darbo Taryba </w:t>
      </w:r>
    </w:p>
    <w:p w14:paraId="7C7F981C">
      <w:pPr>
        <w:tabs>
          <w:tab w:val="left" w:pos="900"/>
        </w:tabs>
        <w:spacing w:after="0"/>
        <w:rPr>
          <w:rStyle w:val="15"/>
          <w:rFonts w:ascii="Times New Roman" w:hAnsi="Times New Roman" w:cs="Times New Roman"/>
          <w:i w:val="0"/>
          <w:sz w:val="24"/>
          <w:szCs w:val="24"/>
        </w:rPr>
      </w:pPr>
      <w:r>
        <w:rPr>
          <w:rStyle w:val="15"/>
          <w:rFonts w:ascii="Times New Roman" w:hAnsi="Times New Roman" w:cs="Times New Roman"/>
          <w:i w:val="0"/>
          <w:sz w:val="24"/>
          <w:szCs w:val="24"/>
        </w:rPr>
        <w:t xml:space="preserve">2025 m. rugpjūčio 29 d. </w:t>
      </w:r>
    </w:p>
    <w:p w14:paraId="2CAE8686">
      <w:pPr>
        <w:tabs>
          <w:tab w:val="left" w:pos="900"/>
        </w:tabs>
        <w:spacing w:after="0"/>
        <w:rPr>
          <w:rStyle w:val="15"/>
          <w:rFonts w:ascii="Times New Roman" w:hAnsi="Times New Roman" w:cs="Times New Roman"/>
          <w:i w:val="0"/>
          <w:sz w:val="24"/>
          <w:szCs w:val="24"/>
        </w:rPr>
      </w:pPr>
      <w:r>
        <w:rPr>
          <w:rStyle w:val="15"/>
          <w:rFonts w:ascii="Times New Roman" w:hAnsi="Times New Roman" w:cs="Times New Roman"/>
          <w:i w:val="0"/>
          <w:sz w:val="24"/>
          <w:szCs w:val="24"/>
        </w:rPr>
        <w:t>protokolas Nr. 1</w:t>
      </w:r>
    </w:p>
    <w:p w14:paraId="2CDE1EA9">
      <w:pPr>
        <w:tabs>
          <w:tab w:val="left" w:pos="900"/>
        </w:tabs>
        <w:rPr>
          <w:rFonts w:ascii="Times New Roman" w:hAnsi="Times New Roman" w:cs="Times New Roman"/>
          <w:sz w:val="24"/>
          <w:szCs w:val="24"/>
        </w:rPr>
      </w:pPr>
    </w:p>
    <w:p w14:paraId="31D6E898">
      <w:pPr>
        <w:spacing w:after="0" w:line="240" w:lineRule="auto"/>
        <w:ind w:left="5387"/>
        <w:jc w:val="left"/>
        <w:rPr>
          <w:rFonts w:ascii="Times New Roman" w:hAnsi="Times New Roman" w:cs="Times New Roman"/>
          <w:bCs/>
          <w:sz w:val="24"/>
          <w:szCs w:val="24"/>
          <w:lang w:eastAsia="lt-LT"/>
        </w:rPr>
      </w:pPr>
    </w:p>
    <w:p w14:paraId="245DB0F3">
      <w:pPr>
        <w:spacing w:after="0" w:line="240" w:lineRule="auto"/>
        <w:ind w:left="5387"/>
        <w:jc w:val="left"/>
        <w:rPr>
          <w:rFonts w:ascii="Times New Roman" w:hAnsi="Times New Roman" w:cs="Times New Roman"/>
          <w:bCs/>
          <w:sz w:val="24"/>
          <w:szCs w:val="24"/>
          <w:lang w:eastAsia="lt-LT"/>
        </w:rPr>
      </w:pPr>
    </w:p>
    <w:p w14:paraId="52C80901">
      <w:pPr>
        <w:spacing w:after="0" w:line="240" w:lineRule="auto"/>
        <w:ind w:left="5387"/>
        <w:jc w:val="left"/>
        <w:rPr>
          <w:rFonts w:ascii="Times New Roman" w:hAnsi="Times New Roman" w:cs="Times New Roman"/>
          <w:bCs/>
          <w:sz w:val="24"/>
          <w:szCs w:val="24"/>
          <w:lang w:eastAsia="lt-LT"/>
        </w:rPr>
      </w:pPr>
    </w:p>
    <w:p w14:paraId="41483026">
      <w:pPr>
        <w:spacing w:after="0" w:line="240" w:lineRule="auto"/>
        <w:ind w:left="5387"/>
        <w:jc w:val="left"/>
        <w:rPr>
          <w:rFonts w:ascii="Times New Roman" w:hAnsi="Times New Roman" w:cs="Times New Roman"/>
          <w:bCs/>
          <w:sz w:val="24"/>
          <w:szCs w:val="24"/>
          <w:lang w:eastAsia="lt-LT"/>
        </w:rPr>
      </w:pPr>
    </w:p>
    <w:p w14:paraId="0F6AF190">
      <w:pPr>
        <w:spacing w:after="0" w:line="240" w:lineRule="auto"/>
        <w:ind w:left="5387"/>
        <w:jc w:val="left"/>
        <w:rPr>
          <w:rFonts w:ascii="Times New Roman" w:hAnsi="Times New Roman" w:cs="Times New Roman"/>
          <w:bCs/>
          <w:sz w:val="24"/>
          <w:szCs w:val="24"/>
          <w:lang w:eastAsia="lt-LT"/>
        </w:rPr>
      </w:pPr>
    </w:p>
    <w:p w14:paraId="6DBEFC04">
      <w:pPr>
        <w:spacing w:after="0" w:line="240" w:lineRule="auto"/>
        <w:ind w:left="5387"/>
        <w:jc w:val="left"/>
        <w:rPr>
          <w:rFonts w:ascii="Times New Roman" w:hAnsi="Times New Roman" w:cs="Times New Roman"/>
          <w:bCs/>
          <w:sz w:val="24"/>
          <w:szCs w:val="24"/>
          <w:lang w:eastAsia="lt-LT"/>
        </w:rPr>
      </w:pPr>
    </w:p>
    <w:p w14:paraId="1E3D6449">
      <w:pPr>
        <w:spacing w:after="0" w:line="240" w:lineRule="auto"/>
        <w:ind w:left="5387"/>
        <w:jc w:val="left"/>
        <w:rPr>
          <w:rFonts w:ascii="Times New Roman" w:hAnsi="Times New Roman" w:cs="Times New Roman"/>
          <w:bCs/>
          <w:sz w:val="24"/>
          <w:szCs w:val="24"/>
          <w:lang w:eastAsia="lt-LT"/>
        </w:rPr>
      </w:pPr>
    </w:p>
    <w:p w14:paraId="26836F73">
      <w:pPr>
        <w:spacing w:after="0" w:line="240" w:lineRule="auto"/>
        <w:ind w:left="5387"/>
        <w:jc w:val="left"/>
        <w:rPr>
          <w:rFonts w:ascii="Times New Roman" w:hAnsi="Times New Roman" w:cs="Times New Roman"/>
          <w:bCs/>
          <w:sz w:val="24"/>
          <w:szCs w:val="24"/>
          <w:lang w:eastAsia="lt-LT"/>
        </w:rPr>
      </w:pPr>
    </w:p>
    <w:p w14:paraId="02D3ECE5">
      <w:pPr>
        <w:spacing w:after="0" w:line="240" w:lineRule="auto"/>
        <w:ind w:left="5387"/>
        <w:jc w:val="left"/>
        <w:rPr>
          <w:rFonts w:ascii="Times New Roman" w:hAnsi="Times New Roman" w:cs="Times New Roman"/>
          <w:bCs/>
          <w:sz w:val="24"/>
          <w:szCs w:val="24"/>
          <w:lang w:eastAsia="lt-LT"/>
        </w:rPr>
      </w:pPr>
    </w:p>
    <w:p w14:paraId="366D9D91">
      <w:pPr>
        <w:spacing w:after="0" w:line="240" w:lineRule="auto"/>
        <w:ind w:left="5387"/>
        <w:jc w:val="left"/>
        <w:rPr>
          <w:rFonts w:ascii="Times New Roman" w:hAnsi="Times New Roman" w:cs="Times New Roman"/>
          <w:bCs/>
          <w:sz w:val="24"/>
          <w:szCs w:val="24"/>
          <w:lang w:eastAsia="lt-LT"/>
        </w:rPr>
      </w:pPr>
    </w:p>
    <w:p w14:paraId="6869CEE8">
      <w:pPr>
        <w:spacing w:after="0" w:line="240" w:lineRule="auto"/>
        <w:ind w:left="5387"/>
        <w:jc w:val="left"/>
        <w:rPr>
          <w:rFonts w:ascii="Times New Roman" w:hAnsi="Times New Roman" w:cs="Times New Roman"/>
          <w:bCs/>
          <w:sz w:val="24"/>
          <w:szCs w:val="24"/>
          <w:lang w:eastAsia="lt-LT"/>
        </w:rPr>
      </w:pPr>
    </w:p>
    <w:p w14:paraId="4E2C4D67">
      <w:pPr>
        <w:spacing w:after="0" w:line="240" w:lineRule="auto"/>
        <w:ind w:left="5387"/>
        <w:jc w:val="left"/>
        <w:rPr>
          <w:rFonts w:ascii="Times New Roman" w:hAnsi="Times New Roman" w:cs="Times New Roman"/>
          <w:bCs/>
          <w:sz w:val="24"/>
          <w:szCs w:val="24"/>
          <w:lang w:eastAsia="lt-LT"/>
        </w:rPr>
      </w:pPr>
    </w:p>
    <w:p w14:paraId="6E08C001">
      <w:pPr>
        <w:spacing w:after="0" w:line="240" w:lineRule="auto"/>
        <w:ind w:left="5387"/>
        <w:jc w:val="left"/>
        <w:rPr>
          <w:rFonts w:ascii="Times New Roman" w:hAnsi="Times New Roman" w:cs="Times New Roman"/>
          <w:bCs/>
          <w:sz w:val="24"/>
          <w:szCs w:val="24"/>
          <w:lang w:eastAsia="lt-LT"/>
        </w:rPr>
      </w:pPr>
    </w:p>
    <w:p w14:paraId="60BAC705">
      <w:pPr>
        <w:spacing w:after="0" w:line="240" w:lineRule="auto"/>
        <w:ind w:left="5387"/>
        <w:jc w:val="left"/>
        <w:rPr>
          <w:rFonts w:ascii="Times New Roman" w:hAnsi="Times New Roman" w:cs="Times New Roman"/>
          <w:bCs/>
          <w:sz w:val="24"/>
          <w:szCs w:val="24"/>
          <w:lang w:eastAsia="lt-LT"/>
        </w:rPr>
      </w:pPr>
    </w:p>
    <w:p w14:paraId="27D63019">
      <w:pPr>
        <w:spacing w:after="0" w:line="240" w:lineRule="auto"/>
        <w:ind w:left="5387"/>
        <w:jc w:val="left"/>
        <w:rPr>
          <w:rFonts w:ascii="Times New Roman" w:hAnsi="Times New Roman" w:cs="Times New Roman"/>
          <w:bCs/>
          <w:sz w:val="24"/>
          <w:szCs w:val="24"/>
          <w:lang w:eastAsia="lt-LT"/>
        </w:rPr>
      </w:pPr>
      <w:r>
        <w:rPr>
          <w:rFonts w:ascii="Times New Roman" w:hAnsi="Times New Roman" w:cs="Times New Roman"/>
          <w:bCs/>
          <w:sz w:val="24"/>
          <w:szCs w:val="24"/>
          <w:lang w:eastAsia="lt-LT"/>
        </w:rPr>
        <w:t>Trakų r. Paluknio Longino Komolovskio gimnazijos darbo apmokėjimo sistemos</w:t>
      </w:r>
    </w:p>
    <w:p w14:paraId="4D2B064F">
      <w:pPr>
        <w:spacing w:after="0" w:line="240" w:lineRule="auto"/>
        <w:ind w:left="5387"/>
        <w:jc w:val="right"/>
        <w:rPr>
          <w:rFonts w:ascii="Times New Roman" w:hAnsi="Times New Roman" w:cs="Times New Roman"/>
          <w:bCs/>
          <w:sz w:val="24"/>
          <w:szCs w:val="24"/>
          <w:lang w:eastAsia="lt-LT"/>
        </w:rPr>
      </w:pPr>
      <w:r>
        <w:rPr>
          <w:rFonts w:ascii="Times New Roman" w:hAnsi="Times New Roman" w:cs="Times New Roman"/>
          <w:bCs/>
          <w:sz w:val="24"/>
          <w:szCs w:val="24"/>
          <w:lang w:eastAsia="lt-LT"/>
        </w:rPr>
        <w:t xml:space="preserve">  1 priedas </w:t>
      </w:r>
    </w:p>
    <w:p w14:paraId="49D14470">
      <w:pPr>
        <w:spacing w:after="0" w:line="240" w:lineRule="auto"/>
        <w:jc w:val="center"/>
        <w:rPr>
          <w:rFonts w:ascii="Times New Roman" w:hAnsi="Times New Roman" w:cs="Times New Roman"/>
          <w:b/>
          <w:bCs/>
          <w:sz w:val="24"/>
          <w:szCs w:val="24"/>
          <w:lang w:eastAsia="lt-LT"/>
        </w:rPr>
      </w:pPr>
      <w:r>
        <w:rPr>
          <w:rFonts w:ascii="Times New Roman" w:hAnsi="Times New Roman" w:cs="Times New Roman"/>
          <w:b/>
          <w:bCs/>
          <w:sz w:val="24"/>
          <w:szCs w:val="24"/>
          <w:lang w:eastAsia="lt-LT"/>
        </w:rPr>
        <w:t>TRAKŲ R. PALUKNIO LONGINO KOMOLOVSKIO GIMNAZIJA</w:t>
      </w:r>
    </w:p>
    <w:p w14:paraId="1FAD7DEA">
      <w:pPr>
        <w:spacing w:after="0" w:line="240" w:lineRule="auto"/>
        <w:jc w:val="center"/>
        <w:rPr>
          <w:rFonts w:ascii="Times New Roman" w:hAnsi="Times New Roman" w:cs="Times New Roman"/>
          <w:b/>
          <w:bCs/>
          <w:sz w:val="24"/>
          <w:szCs w:val="24"/>
          <w:lang w:eastAsia="lt-LT"/>
        </w:rPr>
      </w:pPr>
      <w:r>
        <w:rPr>
          <w:rFonts w:ascii="Times New Roman" w:hAnsi="Times New Roman" w:cs="Times New Roman"/>
          <w:b/>
          <w:bCs/>
          <w:sz w:val="24"/>
          <w:szCs w:val="24"/>
          <w:lang w:eastAsia="lt-LT"/>
        </w:rPr>
        <w:t>_______________m.m.</w:t>
      </w:r>
    </w:p>
    <w:p w14:paraId="0F585FCD">
      <w:pPr>
        <w:spacing w:after="0" w:line="240" w:lineRule="auto"/>
        <w:jc w:val="center"/>
        <w:rPr>
          <w:rFonts w:ascii="Times New Roman" w:hAnsi="Times New Roman" w:cs="Times New Roman"/>
          <w:b/>
          <w:bCs/>
          <w:sz w:val="24"/>
          <w:szCs w:val="24"/>
          <w:lang w:eastAsia="lt-LT"/>
        </w:rPr>
      </w:pPr>
      <w:r>
        <w:rPr>
          <w:rFonts w:ascii="Times New Roman" w:hAnsi="Times New Roman" w:cs="Times New Roman"/>
          <w:b/>
          <w:bCs/>
          <w:sz w:val="24"/>
          <w:szCs w:val="24"/>
          <w:lang w:eastAsia="lt-LT"/>
        </w:rPr>
        <w:t>__________________ (</w:t>
      </w:r>
      <w:r>
        <w:rPr>
          <w:rFonts w:ascii="Times New Roman" w:hAnsi="Times New Roman" w:cs="Times New Roman"/>
          <w:bCs/>
          <w:sz w:val="20"/>
          <w:szCs w:val="20"/>
          <w:lang w:eastAsia="lt-LT"/>
        </w:rPr>
        <w:t>vardas pavardė)</w:t>
      </w:r>
    </w:p>
    <w:p w14:paraId="61F4B4C5">
      <w:pPr>
        <w:spacing w:after="0" w:line="240" w:lineRule="auto"/>
        <w:jc w:val="center"/>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Valandos, susijusios su profesiniu tobulėjimu ir su veiklomis mokyklos bendruomenei </w:t>
      </w:r>
    </w:p>
    <w:p w14:paraId="03C7DD1C">
      <w:pPr>
        <w:spacing w:after="0" w:line="240" w:lineRule="auto"/>
        <w:jc w:val="left"/>
        <w:rPr>
          <w:rFonts w:ascii="Times New Roman" w:hAnsi="Times New Roman" w:cs="Times New Roman"/>
          <w:b/>
          <w:bCs/>
          <w:sz w:val="24"/>
          <w:szCs w:val="24"/>
          <w:lang w:eastAsia="lt-LT"/>
        </w:rPr>
      </w:pPr>
      <w:r>
        <w:rPr>
          <w:rFonts w:ascii="Times New Roman" w:hAnsi="Times New Roman" w:cs="Times New Roman"/>
          <w:b/>
          <w:bCs/>
          <w:sz w:val="24"/>
          <w:szCs w:val="24"/>
          <w:lang w:eastAsia="lt-LT"/>
        </w:rPr>
        <w:t>I. Privalomos veiklos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9"/>
        <w:gridCol w:w="4791"/>
        <w:gridCol w:w="1559"/>
      </w:tblGrid>
      <w:tr w14:paraId="588A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shd w:val="clear" w:color="auto" w:fill="auto"/>
          </w:tcPr>
          <w:p w14:paraId="257A3219">
            <w:pPr>
              <w:spacing w:after="0" w:line="240" w:lineRule="auto"/>
              <w:jc w:val="left"/>
              <w:rPr>
                <w:rFonts w:ascii="Times New Roman" w:hAnsi="Times New Roman" w:eastAsia="Calibri" w:cs="Times New Roman"/>
                <w:b/>
                <w:bCs/>
                <w:sz w:val="24"/>
                <w:szCs w:val="24"/>
                <w:lang w:eastAsia="lt-LT"/>
              </w:rPr>
            </w:pPr>
          </w:p>
        </w:tc>
        <w:tc>
          <w:tcPr>
            <w:tcW w:w="4791" w:type="dxa"/>
            <w:shd w:val="clear" w:color="auto" w:fill="auto"/>
            <w:vAlign w:val="center"/>
          </w:tcPr>
          <w:p w14:paraId="5BE0A207">
            <w:pPr>
              <w:spacing w:after="0" w:line="240" w:lineRule="auto"/>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Konkrečios veiklos</w:t>
            </w:r>
          </w:p>
        </w:tc>
        <w:tc>
          <w:tcPr>
            <w:tcW w:w="1559" w:type="dxa"/>
            <w:shd w:val="clear" w:color="auto" w:fill="auto"/>
          </w:tcPr>
          <w:p w14:paraId="53B4C22E">
            <w:pPr>
              <w:spacing w:after="0" w:line="240" w:lineRule="auto"/>
              <w:jc w:val="center"/>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Metinės valandos</w:t>
            </w:r>
          </w:p>
        </w:tc>
      </w:tr>
      <w:tr w14:paraId="32D92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9" w:type="dxa"/>
            <w:gridSpan w:val="3"/>
            <w:shd w:val="clear" w:color="auto" w:fill="auto"/>
          </w:tcPr>
          <w:p w14:paraId="088A0B1E">
            <w:pPr>
              <w:spacing w:after="0" w:line="240" w:lineRule="auto"/>
              <w:jc w:val="center"/>
              <w:rPr>
                <w:rFonts w:ascii="Times New Roman" w:hAnsi="Times New Roman" w:eastAsia="Calibri" w:cs="Times New Roman"/>
                <w:b/>
                <w:bCs/>
                <w:sz w:val="24"/>
                <w:szCs w:val="24"/>
                <w:u w:val="single"/>
                <w:lang w:eastAsia="lt-LT"/>
              </w:rPr>
            </w:pPr>
            <w:r>
              <w:rPr>
                <w:rFonts w:ascii="Times New Roman" w:hAnsi="Times New Roman" w:eastAsia="Calibri" w:cs="Times New Roman"/>
                <w:b/>
                <w:bCs/>
                <w:sz w:val="24"/>
                <w:szCs w:val="24"/>
                <w:u w:val="single"/>
                <w:lang w:eastAsia="lt-LT"/>
              </w:rPr>
              <w:t>Veiklos, susijusios su profesiniu tobulėjimu</w:t>
            </w:r>
          </w:p>
        </w:tc>
      </w:tr>
      <w:tr w14:paraId="010BD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shd w:val="clear" w:color="auto" w:fill="auto"/>
          </w:tcPr>
          <w:p w14:paraId="3EBFC875">
            <w:pPr>
              <w:spacing w:after="0" w:line="240" w:lineRule="auto"/>
              <w:jc w:val="left"/>
              <w:rPr>
                <w:rFonts w:ascii="Times New Roman" w:hAnsi="Times New Roman" w:eastAsia="Calibri" w:cs="Times New Roman"/>
                <w:b/>
                <w:bCs/>
                <w:sz w:val="24"/>
                <w:szCs w:val="24"/>
                <w:lang w:eastAsia="lt-LT"/>
              </w:rPr>
            </w:pPr>
            <w:r>
              <w:rPr>
                <w:rFonts w:ascii="Times New Roman" w:hAnsi="Times New Roman" w:eastAsia="Calibri" w:cs="Times New Roman"/>
                <w:bCs/>
                <w:sz w:val="24"/>
                <w:szCs w:val="24"/>
                <w:lang w:eastAsia="lt-LT"/>
              </w:rPr>
              <w:t>4.1. Dalyvavimas įstaigos, kaip besimokančios bendruomenės, ir tarpinstitucinio bendradarbiavimo veiklose</w:t>
            </w:r>
          </w:p>
        </w:tc>
        <w:tc>
          <w:tcPr>
            <w:tcW w:w="4791" w:type="dxa"/>
            <w:shd w:val="clear" w:color="auto" w:fill="auto"/>
          </w:tcPr>
          <w:p w14:paraId="5C5876B7">
            <w:pPr>
              <w:spacing w:after="0" w:line="240" w:lineRule="auto"/>
              <w:ind w:left="4"/>
              <w:contextualSpacing/>
              <w:jc w:val="left"/>
              <w:rPr>
                <w:rFonts w:ascii="Times New Roman" w:hAnsi="Times New Roman" w:cs="Times New Roman"/>
                <w:bCs/>
                <w:iCs/>
                <w:sz w:val="24"/>
                <w:szCs w:val="24"/>
              </w:rPr>
            </w:pPr>
            <w:r>
              <w:rPr>
                <w:rFonts w:ascii="Times New Roman" w:hAnsi="Times New Roman" w:cs="Times New Roman"/>
                <w:bCs/>
                <w:iCs/>
                <w:sz w:val="24"/>
                <w:szCs w:val="24"/>
              </w:rPr>
              <w:t>Ugdomųjų veiklų (pamokų) stebėjimas ir aptarimas;</w:t>
            </w:r>
          </w:p>
          <w:p w14:paraId="047B044F">
            <w:pPr>
              <w:spacing w:after="0" w:line="240" w:lineRule="auto"/>
              <w:ind w:left="4"/>
              <w:contextualSpacing/>
              <w:jc w:val="left"/>
              <w:rPr>
                <w:rFonts w:ascii="Times New Roman" w:hAnsi="Times New Roman" w:cs="Times New Roman"/>
                <w:bCs/>
                <w:iCs/>
                <w:sz w:val="24"/>
                <w:szCs w:val="24"/>
              </w:rPr>
            </w:pPr>
            <w:r>
              <w:rPr>
                <w:rFonts w:ascii="Times New Roman" w:hAnsi="Times New Roman" w:cs="Times New Roman"/>
                <w:bCs/>
                <w:iCs/>
                <w:sz w:val="24"/>
                <w:szCs w:val="24"/>
              </w:rPr>
              <w:t>Praktinės veiklos reflektavimas dalindamasis patirtimi dalykinėse (metodinėse) grupėse;</w:t>
            </w:r>
          </w:p>
          <w:p w14:paraId="65B344A1">
            <w:pPr>
              <w:spacing w:after="0" w:line="240" w:lineRule="auto"/>
              <w:ind w:left="4"/>
              <w:contextualSpacing/>
              <w:jc w:val="left"/>
              <w:rPr>
                <w:rFonts w:ascii="Times New Roman" w:hAnsi="Times New Roman" w:cs="Times New Roman"/>
                <w:bCs/>
                <w:iCs/>
                <w:sz w:val="24"/>
                <w:szCs w:val="24"/>
              </w:rPr>
            </w:pPr>
            <w:r>
              <w:rPr>
                <w:rFonts w:ascii="Times New Roman" w:hAnsi="Times New Roman" w:cs="Times New Roman"/>
                <w:bCs/>
                <w:iCs/>
                <w:sz w:val="24"/>
                <w:szCs w:val="24"/>
              </w:rPr>
              <w:t>Rengiamas pranešimas;</w:t>
            </w:r>
          </w:p>
          <w:p w14:paraId="16FB3E16">
            <w:pPr>
              <w:spacing w:after="0" w:line="240" w:lineRule="auto"/>
              <w:ind w:left="4"/>
              <w:contextualSpacing/>
              <w:jc w:val="left"/>
              <w:rPr>
                <w:rFonts w:ascii="Times New Roman" w:hAnsi="Times New Roman" w:cs="Times New Roman"/>
                <w:bCs/>
                <w:iCs/>
                <w:sz w:val="24"/>
                <w:szCs w:val="24"/>
              </w:rPr>
            </w:pPr>
            <w:r>
              <w:rPr>
                <w:rFonts w:ascii="Times New Roman" w:hAnsi="Times New Roman" w:cs="Times New Roman"/>
                <w:bCs/>
                <w:iCs/>
                <w:sz w:val="24"/>
                <w:szCs w:val="24"/>
              </w:rPr>
              <w:t>Savo profesinės veiklos įsivertinimas;</w:t>
            </w:r>
          </w:p>
          <w:p w14:paraId="3F898625">
            <w:pPr>
              <w:spacing w:after="0" w:line="240" w:lineRule="auto"/>
              <w:ind w:left="4"/>
              <w:contextualSpacing/>
              <w:jc w:val="left"/>
              <w:rPr>
                <w:rFonts w:ascii="Times New Roman" w:hAnsi="Times New Roman" w:cs="Times New Roman"/>
                <w:bCs/>
                <w:iCs/>
                <w:sz w:val="24"/>
                <w:szCs w:val="24"/>
              </w:rPr>
            </w:pPr>
            <w:r>
              <w:rPr>
                <w:rFonts w:ascii="Times New Roman" w:hAnsi="Times New Roman" w:cs="Times New Roman"/>
                <w:bCs/>
                <w:iCs/>
                <w:sz w:val="24"/>
                <w:szCs w:val="24"/>
              </w:rPr>
              <w:t>Kitų pedagoginių darbuotojų profesinės veiklos analizė;</w:t>
            </w:r>
          </w:p>
          <w:p w14:paraId="5E7A0DA3">
            <w:pPr>
              <w:spacing w:after="0" w:line="240" w:lineRule="auto"/>
              <w:ind w:left="4"/>
              <w:jc w:val="left"/>
              <w:rPr>
                <w:rFonts w:ascii="Times New Roman" w:hAnsi="Times New Roman" w:eastAsia="Calibri" w:cs="Times New Roman"/>
                <w:bCs/>
                <w:sz w:val="24"/>
                <w:szCs w:val="24"/>
                <w:lang w:eastAsia="lt-LT"/>
              </w:rPr>
            </w:pPr>
            <w:r>
              <w:rPr>
                <w:rFonts w:ascii="Times New Roman" w:hAnsi="Times New Roman" w:cs="Times New Roman"/>
                <w:bCs/>
                <w:iCs/>
                <w:sz w:val="24"/>
                <w:szCs w:val="24"/>
              </w:rPr>
              <w:t>Dalyvavimas rajono dalykinių metodinių būrelių veikloje.</w:t>
            </w:r>
          </w:p>
        </w:tc>
        <w:tc>
          <w:tcPr>
            <w:tcW w:w="1559" w:type="dxa"/>
            <w:shd w:val="clear" w:color="auto" w:fill="auto"/>
          </w:tcPr>
          <w:p w14:paraId="0B6A1DF4">
            <w:pPr>
              <w:spacing w:after="0" w:line="240" w:lineRule="auto"/>
              <w:jc w:val="center"/>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20 proc*</w:t>
            </w:r>
          </w:p>
        </w:tc>
      </w:tr>
      <w:tr w14:paraId="6714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shd w:val="clear" w:color="auto" w:fill="auto"/>
          </w:tcPr>
          <w:p w14:paraId="3396754D">
            <w:pPr>
              <w:spacing w:after="0" w:line="240" w:lineRule="auto"/>
              <w:jc w:val="left"/>
              <w:rPr>
                <w:rFonts w:ascii="Times New Roman" w:hAnsi="Times New Roman" w:eastAsia="Calibri" w:cs="Times New Roman"/>
                <w:b/>
                <w:bCs/>
                <w:sz w:val="24"/>
                <w:szCs w:val="24"/>
                <w:lang w:val="en-US" w:eastAsia="lt-LT"/>
              </w:rPr>
            </w:pPr>
            <w:r>
              <w:rPr>
                <w:rFonts w:ascii="Times New Roman" w:hAnsi="Times New Roman" w:eastAsia="Calibri" w:cs="Times New Roman"/>
                <w:bCs/>
                <w:sz w:val="24"/>
                <w:szCs w:val="24"/>
                <w:lang w:eastAsia="lt-LT"/>
              </w:rPr>
              <w:t xml:space="preserve">4.2. Dalyvavimas neformaliojo suaugusiųjų švietimo veiklose </w:t>
            </w:r>
          </w:p>
        </w:tc>
        <w:tc>
          <w:tcPr>
            <w:tcW w:w="4791" w:type="dxa"/>
            <w:shd w:val="clear" w:color="auto" w:fill="auto"/>
          </w:tcPr>
          <w:p w14:paraId="43B968C5">
            <w:pPr>
              <w:spacing w:after="0" w:line="240" w:lineRule="auto"/>
              <w:ind w:left="4"/>
              <w:contextualSpacing/>
              <w:jc w:val="left"/>
              <w:rPr>
                <w:rFonts w:ascii="Times New Roman" w:hAnsi="Times New Roman" w:cs="Times New Roman"/>
                <w:bCs/>
                <w:sz w:val="24"/>
                <w:szCs w:val="24"/>
              </w:rPr>
            </w:pPr>
            <w:r>
              <w:rPr>
                <w:rFonts w:ascii="Times New Roman" w:hAnsi="Times New Roman" w:cs="Times New Roman"/>
                <w:bCs/>
                <w:iCs/>
                <w:sz w:val="24"/>
                <w:szCs w:val="24"/>
              </w:rPr>
              <w:t>Neformalaus švietimo programose;</w:t>
            </w:r>
          </w:p>
          <w:p w14:paraId="3AF51FFD">
            <w:pPr>
              <w:spacing w:after="0" w:line="240" w:lineRule="auto"/>
              <w:ind w:left="4"/>
              <w:contextualSpacing/>
              <w:jc w:val="left"/>
              <w:rPr>
                <w:rFonts w:ascii="Times New Roman" w:hAnsi="Times New Roman" w:cs="Times New Roman"/>
                <w:bCs/>
                <w:sz w:val="24"/>
                <w:szCs w:val="24"/>
              </w:rPr>
            </w:pPr>
            <w:r>
              <w:rPr>
                <w:rFonts w:ascii="Times New Roman" w:hAnsi="Times New Roman" w:cs="Times New Roman"/>
                <w:bCs/>
                <w:iCs/>
                <w:sz w:val="24"/>
                <w:szCs w:val="24"/>
              </w:rPr>
              <w:t>Seminaruose;</w:t>
            </w:r>
          </w:p>
          <w:p w14:paraId="68D8FF41">
            <w:pPr>
              <w:spacing w:after="0" w:line="240" w:lineRule="auto"/>
              <w:ind w:left="4"/>
              <w:contextualSpacing/>
              <w:jc w:val="left"/>
              <w:rPr>
                <w:rFonts w:ascii="Times New Roman" w:hAnsi="Times New Roman" w:cs="Times New Roman"/>
                <w:bCs/>
                <w:sz w:val="24"/>
                <w:szCs w:val="24"/>
              </w:rPr>
            </w:pPr>
            <w:r>
              <w:rPr>
                <w:rFonts w:ascii="Times New Roman" w:hAnsi="Times New Roman" w:cs="Times New Roman"/>
                <w:bCs/>
                <w:iCs/>
                <w:sz w:val="24"/>
                <w:szCs w:val="24"/>
              </w:rPr>
              <w:t>Konferencijose;</w:t>
            </w:r>
          </w:p>
          <w:p w14:paraId="2E1EE6B0">
            <w:pPr>
              <w:spacing w:after="0" w:line="240" w:lineRule="auto"/>
              <w:ind w:left="4"/>
              <w:jc w:val="left"/>
              <w:rPr>
                <w:rFonts w:ascii="Times New Roman" w:hAnsi="Times New Roman" w:eastAsia="Calibri" w:cs="Times New Roman"/>
                <w:bCs/>
                <w:sz w:val="24"/>
                <w:szCs w:val="24"/>
                <w:lang w:eastAsia="lt-LT"/>
              </w:rPr>
            </w:pPr>
            <w:r>
              <w:rPr>
                <w:rFonts w:ascii="Times New Roman" w:hAnsi="Times New Roman" w:cs="Times New Roman"/>
                <w:bCs/>
                <w:iCs/>
                <w:sz w:val="24"/>
                <w:szCs w:val="24"/>
              </w:rPr>
              <w:t>Trumpalaikėse ar ilgalaikėse stažuotėse, projektuose ir pan.</w:t>
            </w:r>
          </w:p>
        </w:tc>
        <w:tc>
          <w:tcPr>
            <w:tcW w:w="1559" w:type="dxa"/>
            <w:shd w:val="clear" w:color="auto" w:fill="auto"/>
          </w:tcPr>
          <w:p w14:paraId="7284AE00">
            <w:pPr>
              <w:spacing w:after="0" w:line="240" w:lineRule="auto"/>
              <w:jc w:val="center"/>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15 proc*</w:t>
            </w:r>
          </w:p>
        </w:tc>
      </w:tr>
      <w:tr w14:paraId="5C19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shd w:val="clear" w:color="auto" w:fill="auto"/>
          </w:tcPr>
          <w:p w14:paraId="7803895A">
            <w:pPr>
              <w:spacing w:after="0" w:line="240" w:lineRule="auto"/>
              <w:jc w:val="left"/>
              <w:rPr>
                <w:rFonts w:ascii="Times New Roman" w:hAnsi="Times New Roman" w:eastAsia="Calibri" w:cs="Times New Roman"/>
                <w:b/>
                <w:bCs/>
                <w:sz w:val="24"/>
                <w:szCs w:val="24"/>
                <w:lang w:val="en-US" w:eastAsia="lt-LT"/>
              </w:rPr>
            </w:pPr>
            <w:r>
              <w:rPr>
                <w:rFonts w:ascii="Times New Roman" w:hAnsi="Times New Roman" w:eastAsia="Calibri" w:cs="Times New Roman"/>
                <w:bCs/>
                <w:sz w:val="24"/>
                <w:szCs w:val="24"/>
                <w:lang w:eastAsia="lt-LT"/>
              </w:rPr>
              <w:t>4.3.</w:t>
            </w:r>
            <w:r>
              <w:rPr>
                <w:rFonts w:ascii="Times New Roman" w:hAnsi="Times New Roman" w:cs="Times New Roman"/>
                <w:bCs/>
                <w:sz w:val="24"/>
                <w:szCs w:val="24"/>
              </w:rPr>
              <w:t xml:space="preserve"> Bendrųjų ir specialiųjų kompetencijų gilinimas savišvietos būdu;</w:t>
            </w:r>
          </w:p>
        </w:tc>
        <w:tc>
          <w:tcPr>
            <w:tcW w:w="4791" w:type="dxa"/>
            <w:shd w:val="clear" w:color="auto" w:fill="auto"/>
          </w:tcPr>
          <w:p w14:paraId="350C461F">
            <w:pPr>
              <w:spacing w:after="0" w:line="240" w:lineRule="auto"/>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Mokymai nuotoliniu būdu;</w:t>
            </w:r>
          </w:p>
          <w:p w14:paraId="6175B1FF">
            <w:pPr>
              <w:spacing w:after="0" w:line="240" w:lineRule="auto"/>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NŠA, ŠMSM, KPMPC, SMPF, VSF svetainių (naujienų/ naujovių) sekimas;</w:t>
            </w:r>
          </w:p>
          <w:p w14:paraId="3AB92DE4">
            <w:pPr>
              <w:spacing w:after="0" w:line="240" w:lineRule="auto"/>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Profesinės literatūros skaitymas</w:t>
            </w:r>
          </w:p>
        </w:tc>
        <w:tc>
          <w:tcPr>
            <w:tcW w:w="1559" w:type="dxa"/>
            <w:shd w:val="clear" w:color="auto" w:fill="auto"/>
          </w:tcPr>
          <w:p w14:paraId="6D2268C1">
            <w:pPr>
              <w:spacing w:after="0" w:line="240" w:lineRule="auto"/>
              <w:jc w:val="center"/>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15 proc*</w:t>
            </w:r>
          </w:p>
        </w:tc>
      </w:tr>
      <w:tr w14:paraId="199A8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shd w:val="clear" w:color="auto" w:fill="auto"/>
          </w:tcPr>
          <w:p w14:paraId="08A7D08F">
            <w:pPr>
              <w:spacing w:after="0" w:line="240" w:lineRule="auto"/>
              <w:jc w:val="left"/>
              <w:rPr>
                <w:rFonts w:ascii="Times New Roman" w:hAnsi="Times New Roman" w:eastAsia="Calibri" w:cs="Times New Roman"/>
                <w:b/>
                <w:bCs/>
                <w:sz w:val="24"/>
                <w:szCs w:val="24"/>
                <w:lang w:val="pl-PL" w:eastAsia="lt-LT"/>
              </w:rPr>
            </w:pPr>
            <w:r>
              <w:rPr>
                <w:rFonts w:ascii="Times New Roman" w:hAnsi="Times New Roman" w:eastAsia="Calibri" w:cs="Times New Roman"/>
                <w:bCs/>
                <w:sz w:val="24"/>
                <w:szCs w:val="24"/>
                <w:lang w:eastAsia="lt-LT"/>
              </w:rPr>
              <w:t>4.4. Mokytojų veiklą reglamentuojančių dokumentų analizė;</w:t>
            </w:r>
          </w:p>
        </w:tc>
        <w:tc>
          <w:tcPr>
            <w:tcW w:w="4791" w:type="dxa"/>
            <w:shd w:val="clear" w:color="auto" w:fill="auto"/>
          </w:tcPr>
          <w:p w14:paraId="28F8AC08">
            <w:pPr>
              <w:spacing w:after="0" w:line="240" w:lineRule="auto"/>
              <w:jc w:val="left"/>
              <w:rPr>
                <w:rFonts w:ascii="Times New Roman" w:hAnsi="Times New Roman" w:eastAsia="Calibri" w:cs="Times New Roman"/>
                <w:bCs/>
                <w:sz w:val="24"/>
                <w:szCs w:val="24"/>
                <w:lang w:eastAsia="lt-LT"/>
              </w:rPr>
            </w:pPr>
            <w:r>
              <w:rPr>
                <w:rFonts w:ascii="Times New Roman" w:hAnsi="Times New Roman"/>
                <w:bCs/>
                <w:iCs/>
                <w:sz w:val="24"/>
                <w:szCs w:val="24"/>
              </w:rPr>
              <w:t>Susipažinti, analizuoti naujausius teisės aktus, reglamentuojančius ugdymo procesą</w:t>
            </w:r>
          </w:p>
        </w:tc>
        <w:tc>
          <w:tcPr>
            <w:tcW w:w="1559" w:type="dxa"/>
            <w:shd w:val="clear" w:color="auto" w:fill="auto"/>
          </w:tcPr>
          <w:p w14:paraId="66EC7D94">
            <w:pPr>
              <w:spacing w:after="0" w:line="240" w:lineRule="auto"/>
              <w:jc w:val="center"/>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10 proc*</w:t>
            </w:r>
          </w:p>
        </w:tc>
      </w:tr>
      <w:tr w14:paraId="70C7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9" w:type="dxa"/>
            <w:gridSpan w:val="3"/>
            <w:shd w:val="clear" w:color="auto" w:fill="auto"/>
          </w:tcPr>
          <w:p w14:paraId="6BF6A93F">
            <w:pPr>
              <w:spacing w:after="0" w:line="240" w:lineRule="auto"/>
              <w:jc w:val="center"/>
              <w:rPr>
                <w:rFonts w:ascii="Times New Roman" w:hAnsi="Times New Roman" w:eastAsia="Calibri" w:cs="Times New Roman"/>
                <w:b/>
                <w:bCs/>
                <w:sz w:val="24"/>
                <w:szCs w:val="24"/>
                <w:u w:val="single"/>
                <w:lang w:eastAsia="lt-LT"/>
              </w:rPr>
            </w:pPr>
            <w:r>
              <w:rPr>
                <w:rFonts w:ascii="Times New Roman" w:hAnsi="Times New Roman" w:cs="Times New Roman"/>
                <w:b/>
                <w:sz w:val="24"/>
                <w:szCs w:val="24"/>
                <w:u w:val="single"/>
              </w:rPr>
              <w:t xml:space="preserve">4. Veiklos, kurias mokytojas privalo atlikti mokyklos bendruomenei </w:t>
            </w:r>
            <w:r>
              <w:rPr>
                <w:rFonts w:ascii="Times New Roman" w:hAnsi="Times New Roman" w:cs="Times New Roman"/>
                <w:b/>
                <w:u w:val="single"/>
              </w:rPr>
              <w:t>(toliau – privalomos veiklos)</w:t>
            </w:r>
          </w:p>
        </w:tc>
      </w:tr>
      <w:tr w14:paraId="2A0BD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4" w:hRule="atLeast"/>
        </w:trPr>
        <w:tc>
          <w:tcPr>
            <w:tcW w:w="3539" w:type="dxa"/>
            <w:shd w:val="clear" w:color="auto" w:fill="auto"/>
          </w:tcPr>
          <w:p w14:paraId="49A57586">
            <w:pPr>
              <w:spacing w:after="0" w:line="240" w:lineRule="auto"/>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4.1. Valandos darbui su tėvais</w:t>
            </w:r>
          </w:p>
        </w:tc>
        <w:tc>
          <w:tcPr>
            <w:tcW w:w="4791" w:type="dxa"/>
            <w:shd w:val="clear" w:color="auto" w:fill="auto"/>
          </w:tcPr>
          <w:p w14:paraId="6B9A6999">
            <w:pPr>
              <w:pStyle w:val="32"/>
              <w:spacing w:after="0" w:line="240" w:lineRule="auto"/>
              <w:ind w:left="4" w:hanging="4"/>
              <w:contextualSpacing/>
              <w:rPr>
                <w:rFonts w:ascii="Times New Roman" w:hAnsi="Times New Roman" w:cs="Times New Roman"/>
                <w:bCs/>
                <w:iCs/>
                <w:sz w:val="24"/>
                <w:szCs w:val="24"/>
              </w:rPr>
            </w:pPr>
            <w:r>
              <w:rPr>
                <w:rFonts w:ascii="Times New Roman" w:hAnsi="Times New Roman" w:cs="Times New Roman"/>
                <w:bCs/>
                <w:iCs/>
                <w:sz w:val="24"/>
                <w:szCs w:val="24"/>
              </w:rPr>
              <w:t xml:space="preserve">Tėvų konsultavimas, informavimas; </w:t>
            </w:r>
          </w:p>
          <w:p w14:paraId="1DD1FD35">
            <w:pPr>
              <w:pStyle w:val="32"/>
              <w:spacing w:after="0" w:line="240" w:lineRule="auto"/>
              <w:ind w:left="4" w:hanging="4"/>
              <w:contextualSpacing/>
              <w:jc w:val="left"/>
              <w:rPr>
                <w:rFonts w:ascii="Times New Roman" w:hAnsi="Times New Roman" w:cs="Times New Roman"/>
                <w:bCs/>
                <w:sz w:val="24"/>
                <w:szCs w:val="24"/>
              </w:rPr>
            </w:pPr>
            <w:r>
              <w:rPr>
                <w:rFonts w:ascii="Times New Roman" w:hAnsi="Times New Roman" w:cs="Times New Roman"/>
                <w:bCs/>
                <w:iCs/>
                <w:sz w:val="24"/>
                <w:szCs w:val="24"/>
              </w:rPr>
              <w:t>Bendravimas, bendradarbiavimas su jais dėl mokinių ugdymo(si) ir mokymosi pažangos ir pasiekimų (atvirų durų dienos, bendramokykliniai tėvų susirinkimai, pradinių ir pagrindinių klasių individualūs pokalbiai);</w:t>
            </w:r>
          </w:p>
        </w:tc>
        <w:tc>
          <w:tcPr>
            <w:tcW w:w="1559" w:type="dxa"/>
            <w:shd w:val="clear" w:color="auto" w:fill="auto"/>
          </w:tcPr>
          <w:p w14:paraId="1BEBA004">
            <w:pPr>
              <w:spacing w:after="0" w:line="240" w:lineRule="auto"/>
              <w:jc w:val="center"/>
              <w:rPr>
                <w:rFonts w:ascii="Times New Roman" w:hAnsi="Times New Roman" w:eastAsia="Calibri" w:cs="Times New Roman"/>
                <w:bCs/>
                <w:sz w:val="24"/>
                <w:szCs w:val="24"/>
                <w:lang w:eastAsia="lt-LT"/>
              </w:rPr>
            </w:pPr>
          </w:p>
          <w:p w14:paraId="3966710D">
            <w:pPr>
              <w:spacing w:after="0" w:line="240" w:lineRule="auto"/>
              <w:jc w:val="center"/>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15 proc*</w:t>
            </w:r>
          </w:p>
        </w:tc>
      </w:tr>
      <w:tr w14:paraId="30705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shd w:val="clear" w:color="auto" w:fill="auto"/>
          </w:tcPr>
          <w:p w14:paraId="225E89BB">
            <w:pPr>
              <w:spacing w:after="0" w:line="240" w:lineRule="auto"/>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 xml:space="preserve">4.2. </w:t>
            </w:r>
            <w:r>
              <w:rPr>
                <w:rFonts w:ascii="Times New Roman" w:hAnsi="Times New Roman" w:cs="Times New Roman"/>
                <w:sz w:val="24"/>
                <w:szCs w:val="24"/>
              </w:rPr>
              <w:t>Bendradarbiavimas su mokyklos darbuotojais mokinių ugdymo klausimais</w:t>
            </w:r>
          </w:p>
        </w:tc>
        <w:tc>
          <w:tcPr>
            <w:tcW w:w="4791" w:type="dxa"/>
            <w:shd w:val="clear" w:color="auto" w:fill="auto"/>
          </w:tcPr>
          <w:p w14:paraId="1FD68767">
            <w:pPr>
              <w:pStyle w:val="32"/>
              <w:spacing w:after="0" w:line="240" w:lineRule="auto"/>
              <w:ind w:left="4"/>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Pasitarimai dėl SUP mokinių su pagalbos mokiniui specialistais;</w:t>
            </w:r>
          </w:p>
          <w:p w14:paraId="0415444D">
            <w:pPr>
              <w:pStyle w:val="32"/>
              <w:spacing w:after="0" w:line="240" w:lineRule="auto"/>
              <w:ind w:left="4"/>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Metodinės grupės posėdžiai;</w:t>
            </w:r>
          </w:p>
        </w:tc>
        <w:tc>
          <w:tcPr>
            <w:tcW w:w="1559" w:type="dxa"/>
            <w:shd w:val="clear" w:color="auto" w:fill="auto"/>
          </w:tcPr>
          <w:p w14:paraId="3EE9F532">
            <w:pPr>
              <w:spacing w:after="0" w:line="240" w:lineRule="auto"/>
              <w:jc w:val="center"/>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10 proc*</w:t>
            </w:r>
          </w:p>
        </w:tc>
      </w:tr>
      <w:tr w14:paraId="0304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3539" w:type="dxa"/>
            <w:shd w:val="clear" w:color="auto" w:fill="auto"/>
          </w:tcPr>
          <w:p w14:paraId="56776313">
            <w:pPr>
              <w:spacing w:after="0" w:line="240" w:lineRule="auto"/>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 xml:space="preserve">4.3. </w:t>
            </w:r>
            <w:r>
              <w:rPr>
                <w:rFonts w:ascii="Times New Roman" w:hAnsi="Times New Roman" w:cs="Times New Roman"/>
                <w:sz w:val="24"/>
                <w:szCs w:val="24"/>
              </w:rPr>
              <w:t>Mokyklos administracijos inicijuotos veiklos, skirtos mokyklos veiklai planuoti, organizuoti</w:t>
            </w:r>
          </w:p>
        </w:tc>
        <w:tc>
          <w:tcPr>
            <w:tcW w:w="4791" w:type="dxa"/>
            <w:shd w:val="clear" w:color="auto" w:fill="auto"/>
          </w:tcPr>
          <w:p w14:paraId="601174FC">
            <w:pPr>
              <w:pStyle w:val="32"/>
              <w:spacing w:after="0" w:line="240" w:lineRule="auto"/>
              <w:ind w:left="4"/>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 xml:space="preserve">Dalyvavimas posėdžiuose; </w:t>
            </w:r>
          </w:p>
          <w:p w14:paraId="18C1C309">
            <w:pPr>
              <w:pStyle w:val="32"/>
              <w:spacing w:after="0" w:line="240" w:lineRule="auto"/>
              <w:ind w:left="4"/>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Dalyvavimas pasitarimuose;</w:t>
            </w:r>
          </w:p>
          <w:p w14:paraId="5C6401CA">
            <w:pPr>
              <w:pStyle w:val="32"/>
              <w:spacing w:after="0" w:line="240" w:lineRule="auto"/>
              <w:ind w:left="4"/>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Dalyvavimas metodinių grupių susirinkimuose;</w:t>
            </w:r>
          </w:p>
          <w:p w14:paraId="03A59434">
            <w:pPr>
              <w:pStyle w:val="32"/>
              <w:spacing w:after="0" w:line="240" w:lineRule="auto"/>
              <w:ind w:left="4"/>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Susirinkimai dėl individualios pažangos fiksavimo, pagalbos planavimo;</w:t>
            </w:r>
          </w:p>
        </w:tc>
        <w:tc>
          <w:tcPr>
            <w:tcW w:w="1559" w:type="dxa"/>
            <w:shd w:val="clear" w:color="auto" w:fill="auto"/>
          </w:tcPr>
          <w:p w14:paraId="02333F00">
            <w:pPr>
              <w:spacing w:after="0" w:line="240" w:lineRule="auto"/>
              <w:jc w:val="center"/>
              <w:rPr>
                <w:rFonts w:ascii="Times New Roman" w:hAnsi="Times New Roman" w:eastAsia="Calibri" w:cs="Times New Roman"/>
                <w:bCs/>
                <w:sz w:val="24"/>
                <w:szCs w:val="24"/>
                <w:lang w:val="en-GB" w:eastAsia="lt-LT"/>
              </w:rPr>
            </w:pPr>
            <w:r>
              <w:rPr>
                <w:rFonts w:ascii="Times New Roman" w:hAnsi="Times New Roman" w:eastAsia="Calibri" w:cs="Times New Roman"/>
                <w:bCs/>
                <w:sz w:val="24"/>
                <w:szCs w:val="24"/>
                <w:lang w:val="en-GB" w:eastAsia="lt-LT"/>
              </w:rPr>
              <w:t>15 proc*</w:t>
            </w:r>
          </w:p>
        </w:tc>
      </w:tr>
      <w:tr w14:paraId="417F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8330" w:type="dxa"/>
            <w:gridSpan w:val="2"/>
            <w:shd w:val="clear" w:color="auto" w:fill="auto"/>
          </w:tcPr>
          <w:p w14:paraId="4A39FB19">
            <w:pPr>
              <w:pStyle w:val="32"/>
              <w:spacing w:after="0" w:line="240" w:lineRule="auto"/>
              <w:ind w:left="146"/>
              <w:jc w:val="center"/>
              <w:rPr>
                <w:rFonts w:ascii="Times New Roman" w:hAnsi="Times New Roman" w:eastAsia="Calibri" w:cs="Times New Roman"/>
                <w:b/>
                <w:bCs/>
                <w:sz w:val="24"/>
                <w:szCs w:val="24"/>
                <w:lang w:eastAsia="lt-LT"/>
              </w:rPr>
            </w:pPr>
            <w:r>
              <w:rPr>
                <w:rFonts w:ascii="Times New Roman" w:hAnsi="Times New Roman" w:eastAsia="Calibri" w:cs="Times New Roman"/>
                <w:b/>
                <w:bCs/>
                <w:sz w:val="24"/>
                <w:szCs w:val="24"/>
                <w:lang w:eastAsia="lt-LT"/>
              </w:rPr>
              <w:t xml:space="preserve">Iš viso: </w:t>
            </w:r>
          </w:p>
        </w:tc>
        <w:tc>
          <w:tcPr>
            <w:tcW w:w="1559" w:type="dxa"/>
            <w:shd w:val="clear" w:color="auto" w:fill="auto"/>
          </w:tcPr>
          <w:p w14:paraId="2D62C72C">
            <w:pPr>
              <w:spacing w:after="0" w:line="240" w:lineRule="auto"/>
              <w:jc w:val="center"/>
              <w:rPr>
                <w:rFonts w:ascii="Times New Roman" w:hAnsi="Times New Roman" w:eastAsia="Calibri" w:cs="Times New Roman"/>
                <w:b/>
                <w:bCs/>
                <w:sz w:val="24"/>
                <w:szCs w:val="24"/>
                <w:lang w:val="en-GB" w:eastAsia="lt-LT"/>
              </w:rPr>
            </w:pPr>
            <w:r>
              <w:rPr>
                <w:rFonts w:ascii="Times New Roman" w:hAnsi="Times New Roman" w:eastAsia="Calibri" w:cs="Times New Roman"/>
                <w:b/>
                <w:bCs/>
                <w:sz w:val="24"/>
                <w:szCs w:val="24"/>
                <w:lang w:val="en-GB" w:eastAsia="lt-LT"/>
              </w:rPr>
              <w:t>102 val.</w:t>
            </w:r>
          </w:p>
        </w:tc>
      </w:tr>
    </w:tbl>
    <w:p w14:paraId="478AF604">
      <w:pPr>
        <w:spacing w:after="0" w:line="240" w:lineRule="auto"/>
        <w:jc w:val="left"/>
        <w:rPr>
          <w:rFonts w:ascii="Times New Roman" w:hAnsi="Times New Roman" w:cs="Times New Roman"/>
          <w:bCs/>
          <w:sz w:val="20"/>
          <w:szCs w:val="20"/>
          <w:lang w:eastAsia="lt-LT"/>
        </w:rPr>
      </w:pPr>
      <w:r>
        <w:rPr>
          <w:rFonts w:ascii="Times New Roman" w:hAnsi="Times New Roman" w:cs="Times New Roman"/>
          <w:bCs/>
          <w:sz w:val="20"/>
          <w:szCs w:val="20"/>
          <w:lang w:eastAsia="lt-LT"/>
        </w:rPr>
        <w:t>* nuo visų privalomai veiklai numatytų valandų</w:t>
      </w:r>
    </w:p>
    <w:p w14:paraId="10ABBD4A">
      <w:pPr>
        <w:spacing w:after="0" w:line="240" w:lineRule="auto"/>
        <w:jc w:val="left"/>
        <w:rPr>
          <w:rFonts w:ascii="Times New Roman" w:hAnsi="Times New Roman" w:cs="Times New Roman"/>
          <w:bCs/>
          <w:sz w:val="20"/>
          <w:szCs w:val="20"/>
          <w:lang w:eastAsia="lt-LT"/>
        </w:rPr>
      </w:pPr>
    </w:p>
    <w:p w14:paraId="7D148664">
      <w:pPr>
        <w:spacing w:after="0" w:line="240" w:lineRule="auto"/>
        <w:jc w:val="left"/>
        <w:rPr>
          <w:rFonts w:ascii="Times New Roman" w:hAnsi="Times New Roman" w:cs="Times New Roman"/>
          <w:b/>
          <w:bCs/>
          <w:sz w:val="24"/>
          <w:szCs w:val="24"/>
          <w:lang w:eastAsia="lt-LT"/>
        </w:rPr>
      </w:pPr>
      <w:r>
        <w:rPr>
          <w:rFonts w:ascii="Times New Roman" w:hAnsi="Times New Roman" w:cs="Times New Roman"/>
          <w:b/>
          <w:bCs/>
          <w:sz w:val="24"/>
          <w:szCs w:val="24"/>
          <w:lang w:eastAsia="lt-LT"/>
        </w:rPr>
        <w:t>II.  Individualiai su mokytoju sutariamos veiklos (</w:t>
      </w:r>
      <w:r>
        <w:rPr>
          <w:rFonts w:ascii="Times New Roman" w:hAnsi="Times New Roman" w:eastAsia="Calibri" w:cs="Times New Roman"/>
          <w:b/>
          <w:sz w:val="24"/>
          <w:szCs w:val="24"/>
          <w:lang w:eastAsia="lt-LT"/>
        </w:rPr>
        <w:t xml:space="preserve">0 - </w:t>
      </w:r>
      <w:r>
        <w:rPr>
          <w:rFonts w:ascii="Times New Roman" w:hAnsi="Times New Roman" w:eastAsia="Calibri" w:cs="Times New Roman"/>
          <w:b/>
          <w:sz w:val="24"/>
          <w:szCs w:val="24"/>
          <w:lang w:val="en-GB" w:eastAsia="lt-LT"/>
        </w:rPr>
        <w:t>400 val.).</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1"/>
        <w:gridCol w:w="4649"/>
        <w:gridCol w:w="1559"/>
      </w:tblGrid>
      <w:tr w14:paraId="3802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3681" w:type="dxa"/>
            <w:shd w:val="clear" w:color="auto" w:fill="auto"/>
          </w:tcPr>
          <w:p w14:paraId="1774A43D">
            <w:pPr>
              <w:spacing w:after="0" w:line="240" w:lineRule="auto"/>
              <w:rPr>
                <w:rFonts w:ascii="Times New Roman" w:hAnsi="Times New Roman" w:eastAsia="Calibri" w:cs="Times New Roman"/>
                <w:sz w:val="24"/>
                <w:szCs w:val="24"/>
                <w:lang w:eastAsia="lt-LT"/>
              </w:rPr>
            </w:pPr>
          </w:p>
        </w:tc>
        <w:tc>
          <w:tcPr>
            <w:tcW w:w="4649" w:type="dxa"/>
            <w:shd w:val="clear" w:color="auto" w:fill="auto"/>
            <w:vAlign w:val="center"/>
          </w:tcPr>
          <w:p w14:paraId="70CD8004">
            <w:pPr>
              <w:spacing w:after="0" w:line="240" w:lineRule="auto"/>
              <w:jc w:val="center"/>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Konkrečios įvardintos veiklos</w:t>
            </w:r>
          </w:p>
        </w:tc>
        <w:tc>
          <w:tcPr>
            <w:tcW w:w="1559" w:type="dxa"/>
            <w:shd w:val="clear" w:color="auto" w:fill="auto"/>
            <w:vAlign w:val="center"/>
          </w:tcPr>
          <w:p w14:paraId="16B4FAB7">
            <w:pPr>
              <w:spacing w:after="0" w:line="240" w:lineRule="auto"/>
              <w:jc w:val="center"/>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Metinės valandos</w:t>
            </w:r>
          </w:p>
        </w:tc>
      </w:tr>
      <w:tr w14:paraId="53A9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9889" w:type="dxa"/>
            <w:gridSpan w:val="3"/>
            <w:shd w:val="clear" w:color="auto" w:fill="auto"/>
          </w:tcPr>
          <w:p w14:paraId="62BBA4AD">
            <w:pPr>
              <w:spacing w:after="0" w:line="240" w:lineRule="auto"/>
              <w:jc w:val="center"/>
              <w:rPr>
                <w:rFonts w:ascii="Times New Roman" w:hAnsi="Times New Roman" w:eastAsia="Calibri" w:cs="Times New Roman"/>
                <w:b/>
                <w:sz w:val="24"/>
                <w:szCs w:val="24"/>
                <w:u w:val="single"/>
                <w:lang w:eastAsia="lt-LT"/>
              </w:rPr>
            </w:pPr>
            <w:r>
              <w:rPr>
                <w:rFonts w:ascii="Times New Roman" w:hAnsi="Times New Roman" w:eastAsia="Calibri" w:cs="Times New Roman"/>
                <w:b/>
                <w:bCs/>
                <w:sz w:val="24"/>
                <w:szCs w:val="24"/>
                <w:u w:val="single"/>
                <w:lang w:eastAsia="lt-LT"/>
              </w:rPr>
              <w:t>6.1. Bendradarbiavimo veiklos, skirtos mokyklos veiklai planuoti, tobulinti, pozityviam mokyklos mikroklimatui kurti, ugdymo ir švietimo pagalbos kokybei, mokykloje ugdomų mokinių saugumui užtikrinti:</w:t>
            </w:r>
          </w:p>
        </w:tc>
      </w:tr>
      <w:tr w14:paraId="79A8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259E05DE">
            <w:pPr>
              <w:tabs>
                <w:tab w:val="left" w:pos="599"/>
              </w:tabs>
              <w:spacing w:after="0" w:line="240" w:lineRule="auto"/>
              <w:ind w:left="60"/>
              <w:contextualSpacing/>
              <w:jc w:val="left"/>
              <w:rPr>
                <w:rFonts w:ascii="Times New Roman" w:hAnsi="Times New Roman" w:cs="Times New Roman"/>
                <w:sz w:val="24"/>
                <w:szCs w:val="24"/>
              </w:rPr>
            </w:pPr>
            <w:r>
              <w:rPr>
                <w:rFonts w:ascii="Times New Roman" w:hAnsi="Times New Roman" w:cs="Times New Roman"/>
                <w:bCs/>
                <w:sz w:val="24"/>
                <w:szCs w:val="24"/>
              </w:rPr>
              <w:t>6.1.1 dalyvavimas, vadovavimas darbo grupėms ar komisijoms, jų veiklos administravimas ar koordinavimas</w:t>
            </w:r>
          </w:p>
        </w:tc>
        <w:tc>
          <w:tcPr>
            <w:tcW w:w="4649" w:type="dxa"/>
            <w:shd w:val="clear" w:color="auto" w:fill="auto"/>
          </w:tcPr>
          <w:p w14:paraId="3A53D3EA">
            <w:pPr>
              <w:spacing w:after="0" w:line="240" w:lineRule="auto"/>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Tikslinės darbo grupės:</w:t>
            </w:r>
          </w:p>
          <w:p w14:paraId="3CF58F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Ugdymo veiklos įsivertinimo rengimo darbo grupės nariams; </w:t>
            </w:r>
          </w:p>
          <w:p w14:paraId="3395A741">
            <w:pPr>
              <w:spacing w:after="0" w:line="240" w:lineRule="auto"/>
              <w:rPr>
                <w:rFonts w:ascii="Times New Roman" w:hAnsi="Times New Roman" w:cs="Times New Roman"/>
                <w:sz w:val="24"/>
                <w:szCs w:val="24"/>
              </w:rPr>
            </w:pPr>
            <w:r>
              <w:rPr>
                <w:rFonts w:ascii="Times New Roman" w:hAnsi="Times New Roman" w:cs="Times New Roman"/>
                <w:sz w:val="24"/>
                <w:szCs w:val="24"/>
              </w:rPr>
              <w:t>Vaiko gerovės komisijos darbo grupės nariams;</w:t>
            </w:r>
          </w:p>
          <w:p w14:paraId="0F3E466D">
            <w:pPr>
              <w:spacing w:after="0" w:line="240" w:lineRule="auto"/>
              <w:rPr>
                <w:rFonts w:ascii="Times New Roman" w:hAnsi="Times New Roman" w:eastAsia="Calibri" w:cs="Times New Roman"/>
                <w:sz w:val="24"/>
                <w:szCs w:val="24"/>
                <w:lang w:eastAsia="lt-LT"/>
              </w:rPr>
            </w:pPr>
            <w:r>
              <w:rPr>
                <w:rFonts w:ascii="Times New Roman" w:hAnsi="Times New Roman" w:cs="Times New Roman"/>
                <w:sz w:val="24"/>
                <w:szCs w:val="24"/>
              </w:rPr>
              <w:t>Metodinių ir kt. grupių sekretoriams; Vaiko gerovės komisijos sekretoriui; Mokytojų tarybos sekretoriui;</w:t>
            </w:r>
          </w:p>
          <w:p w14:paraId="632086F5">
            <w:pPr>
              <w:spacing w:after="0" w:line="240" w:lineRule="auto"/>
              <w:jc w:val="left"/>
              <w:rPr>
                <w:rFonts w:ascii="Times New Roman" w:hAnsi="Times New Roman" w:eastAsia="Calibri" w:cs="Times New Roman"/>
                <w:sz w:val="24"/>
                <w:szCs w:val="24"/>
              </w:rPr>
            </w:pPr>
            <w:r>
              <w:rPr>
                <w:rFonts w:ascii="Times New Roman" w:hAnsi="Times New Roman" w:eastAsia="Calibri" w:cs="Times New Roman"/>
                <w:sz w:val="24"/>
                <w:szCs w:val="24"/>
              </w:rPr>
              <w:t xml:space="preserve">Atestacijos komisijos sekretorius Atestacijos komisijos nariai </w:t>
            </w:r>
          </w:p>
          <w:p w14:paraId="71E64A28">
            <w:pPr>
              <w:spacing w:after="0" w:line="240" w:lineRule="auto"/>
              <w:jc w:val="left"/>
              <w:rPr>
                <w:rFonts w:ascii="Times New Roman" w:hAnsi="Times New Roman" w:eastAsia="Calibri" w:cs="Times New Roman"/>
                <w:sz w:val="24"/>
                <w:szCs w:val="24"/>
              </w:rPr>
            </w:pPr>
            <w:r>
              <w:rPr>
                <w:rFonts w:ascii="Times New Roman" w:hAnsi="Times New Roman" w:eastAsia="Calibri" w:cs="Times New Roman"/>
                <w:sz w:val="24"/>
                <w:szCs w:val="24"/>
              </w:rPr>
              <w:t>Mobingo ir psichologinio smurto darbo aplinkoje prevencijos ir intervencijos darbo grupės pirmininkas</w:t>
            </w:r>
          </w:p>
          <w:p w14:paraId="2AB7C29D">
            <w:pPr>
              <w:spacing w:after="0" w:line="240" w:lineRule="auto"/>
              <w:jc w:val="left"/>
              <w:rPr>
                <w:rFonts w:ascii="Times New Roman" w:hAnsi="Times New Roman" w:eastAsia="Calibri" w:cs="Times New Roman"/>
                <w:sz w:val="24"/>
                <w:szCs w:val="24"/>
              </w:rPr>
            </w:pPr>
            <w:r>
              <w:rPr>
                <w:rFonts w:ascii="Times New Roman" w:hAnsi="Times New Roman" w:eastAsia="Calibri" w:cs="Times New Roman"/>
                <w:sz w:val="24"/>
                <w:szCs w:val="24"/>
              </w:rPr>
              <w:t>Mobingo ir psichologinio smurto darbo aplinkoje prevencijos ir intervencijos darbo grupės nariai</w:t>
            </w:r>
          </w:p>
          <w:p w14:paraId="66B1D208">
            <w:pPr>
              <w:spacing w:after="0" w:line="240" w:lineRule="auto"/>
              <w:jc w:val="left"/>
              <w:rPr>
                <w:rFonts w:ascii="Times New Roman" w:hAnsi="Times New Roman" w:eastAsia="Calibri" w:cs="Times New Roman"/>
                <w:sz w:val="24"/>
                <w:szCs w:val="24"/>
              </w:rPr>
            </w:pPr>
            <w:r>
              <w:rPr>
                <w:rFonts w:ascii="Times New Roman" w:hAnsi="Times New Roman" w:eastAsia="Calibri" w:cs="Times New Roman"/>
                <w:sz w:val="24"/>
                <w:szCs w:val="24"/>
              </w:rPr>
              <w:t>Korupcijos prevencijos grupės pirmininkas</w:t>
            </w:r>
          </w:p>
          <w:p w14:paraId="4ED3644F">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rPr>
              <w:t>Korupcijos prevencijos grupės nariai</w:t>
            </w:r>
          </w:p>
        </w:tc>
        <w:tc>
          <w:tcPr>
            <w:tcW w:w="1559" w:type="dxa"/>
            <w:shd w:val="clear" w:color="auto" w:fill="auto"/>
          </w:tcPr>
          <w:p w14:paraId="1EBBF7A7">
            <w:pPr>
              <w:spacing w:after="0" w:line="240" w:lineRule="auto"/>
              <w:jc w:val="left"/>
              <w:rPr>
                <w:rFonts w:ascii="Times New Roman" w:hAnsi="Times New Roman" w:eastAsia="Calibri" w:cs="Times New Roman"/>
                <w:sz w:val="24"/>
                <w:szCs w:val="24"/>
              </w:rPr>
            </w:pPr>
          </w:p>
          <w:p w14:paraId="2C188A0D">
            <w:pPr>
              <w:spacing w:after="0" w:line="240" w:lineRule="auto"/>
              <w:jc w:val="left"/>
              <w:rPr>
                <w:rFonts w:ascii="Times New Roman" w:hAnsi="Times New Roman" w:eastAsia="Calibri" w:cs="Times New Roman"/>
                <w:sz w:val="24"/>
                <w:szCs w:val="24"/>
                <w:lang w:val="en-GB"/>
              </w:rPr>
            </w:pPr>
            <w:r>
              <w:rPr>
                <w:rFonts w:ascii="Times New Roman" w:hAnsi="Times New Roman" w:eastAsia="Calibri" w:cs="Times New Roman"/>
                <w:sz w:val="24"/>
                <w:szCs w:val="24"/>
                <w:lang w:val="en-GB"/>
              </w:rPr>
              <w:t xml:space="preserve">5-20 val. </w:t>
            </w:r>
          </w:p>
          <w:p w14:paraId="4474DA08">
            <w:pPr>
              <w:spacing w:after="0" w:line="240" w:lineRule="auto"/>
              <w:jc w:val="left"/>
              <w:rPr>
                <w:rFonts w:ascii="Times New Roman" w:hAnsi="Times New Roman" w:eastAsia="Calibri" w:cs="Times New Roman"/>
                <w:sz w:val="24"/>
                <w:szCs w:val="24"/>
                <w:lang w:val="en-GB"/>
              </w:rPr>
            </w:pPr>
          </w:p>
          <w:p w14:paraId="51DD3F6B">
            <w:pPr>
              <w:spacing w:after="0" w:line="240" w:lineRule="auto"/>
              <w:jc w:val="left"/>
              <w:rPr>
                <w:rFonts w:ascii="Times New Roman" w:hAnsi="Times New Roman" w:eastAsia="Calibri" w:cs="Times New Roman"/>
                <w:sz w:val="24"/>
                <w:szCs w:val="24"/>
                <w:lang w:val="en-GB"/>
              </w:rPr>
            </w:pPr>
            <w:r>
              <w:rPr>
                <w:rFonts w:ascii="Times New Roman" w:hAnsi="Times New Roman" w:eastAsia="Calibri" w:cs="Times New Roman"/>
                <w:sz w:val="24"/>
                <w:szCs w:val="24"/>
                <w:lang w:val="en-GB"/>
              </w:rPr>
              <w:t>5-10 val.</w:t>
            </w:r>
          </w:p>
          <w:p w14:paraId="2FD6D5E5">
            <w:pPr>
              <w:spacing w:after="0" w:line="240" w:lineRule="auto"/>
              <w:jc w:val="left"/>
              <w:rPr>
                <w:rFonts w:ascii="Times New Roman" w:hAnsi="Times New Roman" w:eastAsia="Calibri" w:cs="Times New Roman"/>
                <w:sz w:val="24"/>
                <w:szCs w:val="24"/>
                <w:lang w:val="en-GB"/>
              </w:rPr>
            </w:pPr>
          </w:p>
          <w:p w14:paraId="5FD88CDA">
            <w:pPr>
              <w:spacing w:after="0" w:line="240" w:lineRule="auto"/>
              <w:jc w:val="left"/>
              <w:rPr>
                <w:rFonts w:ascii="Times New Roman" w:hAnsi="Times New Roman" w:eastAsia="Calibri" w:cs="Times New Roman"/>
                <w:sz w:val="24"/>
                <w:szCs w:val="24"/>
                <w:lang w:val="en-GB"/>
              </w:rPr>
            </w:pPr>
            <w:r>
              <w:rPr>
                <w:rFonts w:ascii="Times New Roman" w:hAnsi="Times New Roman" w:eastAsia="Calibri" w:cs="Times New Roman"/>
                <w:sz w:val="24"/>
                <w:szCs w:val="24"/>
                <w:lang w:val="en-GB"/>
              </w:rPr>
              <w:t>5-15 val.</w:t>
            </w:r>
          </w:p>
          <w:p w14:paraId="11A07F29">
            <w:pPr>
              <w:spacing w:after="0" w:line="240" w:lineRule="auto"/>
              <w:jc w:val="left"/>
              <w:rPr>
                <w:rFonts w:ascii="Times New Roman" w:hAnsi="Times New Roman" w:eastAsia="Calibri" w:cs="Times New Roman"/>
                <w:sz w:val="24"/>
                <w:szCs w:val="24"/>
                <w:lang w:val="en-GB"/>
              </w:rPr>
            </w:pPr>
            <w:r>
              <w:rPr>
                <w:rFonts w:ascii="Times New Roman" w:hAnsi="Times New Roman" w:eastAsia="Calibri" w:cs="Times New Roman"/>
                <w:sz w:val="24"/>
                <w:szCs w:val="24"/>
                <w:lang w:val="en-GB"/>
              </w:rPr>
              <w:t>5-15 val.</w:t>
            </w:r>
          </w:p>
          <w:p w14:paraId="553AF3F4">
            <w:pPr>
              <w:spacing w:after="0" w:line="240" w:lineRule="auto"/>
              <w:jc w:val="left"/>
              <w:rPr>
                <w:rFonts w:ascii="Times New Roman" w:hAnsi="Times New Roman" w:eastAsia="Calibri" w:cs="Times New Roman"/>
                <w:sz w:val="24"/>
                <w:szCs w:val="24"/>
                <w:lang w:val="en-GB"/>
              </w:rPr>
            </w:pPr>
            <w:r>
              <w:rPr>
                <w:rFonts w:ascii="Times New Roman" w:hAnsi="Times New Roman" w:eastAsia="Calibri" w:cs="Times New Roman"/>
                <w:sz w:val="24"/>
                <w:szCs w:val="24"/>
                <w:lang w:val="en-GB"/>
              </w:rPr>
              <w:t>5-15 val.</w:t>
            </w:r>
          </w:p>
          <w:p w14:paraId="51ADA9FC">
            <w:pPr>
              <w:spacing w:after="0" w:line="240" w:lineRule="auto"/>
              <w:jc w:val="left"/>
              <w:rPr>
                <w:rFonts w:ascii="Times New Roman" w:hAnsi="Times New Roman" w:eastAsia="Calibri" w:cs="Times New Roman"/>
                <w:sz w:val="24"/>
                <w:szCs w:val="24"/>
                <w:lang w:val="en-GB"/>
              </w:rPr>
            </w:pPr>
            <w:r>
              <w:rPr>
                <w:rFonts w:ascii="Times New Roman" w:hAnsi="Times New Roman" w:eastAsia="Calibri" w:cs="Times New Roman"/>
                <w:sz w:val="24"/>
                <w:szCs w:val="24"/>
                <w:lang w:val="en-GB"/>
              </w:rPr>
              <w:t>5 val.</w:t>
            </w:r>
          </w:p>
          <w:p w14:paraId="0E5F1A4B">
            <w:pPr>
              <w:spacing w:after="0" w:line="240" w:lineRule="auto"/>
              <w:jc w:val="left"/>
              <w:rPr>
                <w:rFonts w:ascii="Times New Roman" w:hAnsi="Times New Roman" w:eastAsia="Calibri" w:cs="Times New Roman"/>
                <w:sz w:val="24"/>
                <w:szCs w:val="24"/>
                <w:lang w:val="en-GB"/>
              </w:rPr>
            </w:pPr>
            <w:r>
              <w:rPr>
                <w:rFonts w:ascii="Times New Roman" w:hAnsi="Times New Roman" w:eastAsia="Calibri" w:cs="Times New Roman"/>
                <w:sz w:val="24"/>
                <w:szCs w:val="24"/>
                <w:lang w:val="en-GB"/>
              </w:rPr>
              <w:t>1-3 val.</w:t>
            </w:r>
          </w:p>
          <w:p w14:paraId="71805861">
            <w:pPr>
              <w:spacing w:after="0" w:line="240" w:lineRule="auto"/>
              <w:jc w:val="left"/>
              <w:rPr>
                <w:rFonts w:ascii="Times New Roman" w:hAnsi="Times New Roman" w:eastAsia="Calibri" w:cs="Times New Roman"/>
                <w:sz w:val="24"/>
                <w:szCs w:val="24"/>
                <w:lang w:val="en-GB"/>
              </w:rPr>
            </w:pPr>
          </w:p>
          <w:p w14:paraId="63CB76B9">
            <w:pPr>
              <w:spacing w:after="0" w:line="240" w:lineRule="auto"/>
              <w:jc w:val="left"/>
              <w:rPr>
                <w:rFonts w:ascii="Times New Roman" w:hAnsi="Times New Roman" w:eastAsia="Calibri" w:cs="Times New Roman"/>
                <w:sz w:val="24"/>
                <w:szCs w:val="24"/>
                <w:lang w:val="en-GB"/>
              </w:rPr>
            </w:pPr>
            <w:r>
              <w:rPr>
                <w:rFonts w:ascii="Times New Roman" w:hAnsi="Times New Roman" w:eastAsia="Calibri" w:cs="Times New Roman"/>
                <w:sz w:val="24"/>
                <w:szCs w:val="24"/>
                <w:lang w:val="en-GB"/>
              </w:rPr>
              <w:t>5 val.</w:t>
            </w:r>
          </w:p>
          <w:p w14:paraId="0F969038">
            <w:pPr>
              <w:spacing w:after="0" w:line="240" w:lineRule="auto"/>
              <w:jc w:val="left"/>
              <w:rPr>
                <w:rFonts w:ascii="Times New Roman" w:hAnsi="Times New Roman" w:eastAsia="Calibri" w:cs="Times New Roman"/>
                <w:sz w:val="24"/>
                <w:szCs w:val="24"/>
                <w:lang w:val="en-GB"/>
              </w:rPr>
            </w:pPr>
          </w:p>
          <w:p w14:paraId="1E27753C">
            <w:pPr>
              <w:spacing w:after="0" w:line="240" w:lineRule="auto"/>
              <w:jc w:val="left"/>
              <w:rPr>
                <w:rFonts w:ascii="Times New Roman" w:hAnsi="Times New Roman" w:eastAsia="Calibri" w:cs="Times New Roman"/>
                <w:sz w:val="24"/>
                <w:szCs w:val="24"/>
                <w:lang w:val="en-GB"/>
              </w:rPr>
            </w:pPr>
            <w:r>
              <w:rPr>
                <w:rFonts w:ascii="Times New Roman" w:hAnsi="Times New Roman" w:eastAsia="Calibri" w:cs="Times New Roman"/>
                <w:sz w:val="24"/>
                <w:szCs w:val="24"/>
                <w:lang w:val="en-GB"/>
              </w:rPr>
              <w:t>2 val.</w:t>
            </w:r>
          </w:p>
          <w:p w14:paraId="6AC93DCF">
            <w:pPr>
              <w:spacing w:after="0" w:line="240" w:lineRule="auto"/>
              <w:jc w:val="left"/>
              <w:rPr>
                <w:rFonts w:ascii="Times New Roman" w:hAnsi="Times New Roman" w:eastAsia="Calibri" w:cs="Times New Roman"/>
                <w:sz w:val="24"/>
                <w:szCs w:val="24"/>
                <w:lang w:val="en-GB"/>
              </w:rPr>
            </w:pPr>
          </w:p>
          <w:p w14:paraId="4555252F">
            <w:pPr>
              <w:spacing w:after="0" w:line="240" w:lineRule="auto"/>
              <w:jc w:val="left"/>
              <w:rPr>
                <w:rFonts w:ascii="Times New Roman" w:hAnsi="Times New Roman" w:eastAsia="Calibri" w:cs="Times New Roman"/>
                <w:sz w:val="24"/>
                <w:szCs w:val="24"/>
                <w:lang w:val="en-GB"/>
              </w:rPr>
            </w:pPr>
          </w:p>
          <w:p w14:paraId="6E8066FF">
            <w:pPr>
              <w:spacing w:after="0" w:line="240" w:lineRule="auto"/>
              <w:jc w:val="left"/>
              <w:rPr>
                <w:rFonts w:ascii="Times New Roman" w:hAnsi="Times New Roman" w:eastAsia="Calibri" w:cs="Times New Roman"/>
                <w:sz w:val="24"/>
                <w:szCs w:val="24"/>
                <w:lang w:val="en-GB"/>
              </w:rPr>
            </w:pPr>
            <w:r>
              <w:rPr>
                <w:rFonts w:ascii="Times New Roman" w:hAnsi="Times New Roman" w:eastAsia="Calibri" w:cs="Times New Roman"/>
                <w:sz w:val="24"/>
                <w:szCs w:val="24"/>
                <w:lang w:val="en-GB"/>
              </w:rPr>
              <w:t>5 val.</w:t>
            </w:r>
          </w:p>
          <w:p w14:paraId="3A5212D2">
            <w:pPr>
              <w:spacing w:after="0" w:line="240" w:lineRule="auto"/>
              <w:jc w:val="left"/>
              <w:rPr>
                <w:rFonts w:ascii="Times New Roman" w:hAnsi="Times New Roman" w:eastAsia="Calibri" w:cs="Times New Roman"/>
                <w:sz w:val="24"/>
                <w:szCs w:val="24"/>
                <w:lang w:val="en-GB"/>
              </w:rPr>
            </w:pPr>
            <w:r>
              <w:rPr>
                <w:rFonts w:ascii="Times New Roman" w:hAnsi="Times New Roman" w:eastAsia="Calibri" w:cs="Times New Roman"/>
                <w:sz w:val="24"/>
                <w:szCs w:val="24"/>
                <w:lang w:val="en-GB"/>
              </w:rPr>
              <w:t>2 val.</w:t>
            </w:r>
          </w:p>
        </w:tc>
      </w:tr>
      <w:tr w14:paraId="7FBC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5FB83CA6">
            <w:pPr>
              <w:tabs>
                <w:tab w:val="left" w:pos="599"/>
              </w:tabs>
              <w:spacing w:after="0" w:line="240" w:lineRule="auto"/>
              <w:ind w:left="60"/>
              <w:contextualSpacing/>
              <w:jc w:val="left"/>
              <w:rPr>
                <w:rFonts w:ascii="Times New Roman" w:hAnsi="Times New Roman" w:cs="Times New Roman"/>
                <w:sz w:val="24"/>
                <w:szCs w:val="24"/>
                <w:lang w:val="en-US"/>
              </w:rPr>
            </w:pPr>
            <w:r>
              <w:rPr>
                <w:rFonts w:ascii="Times New Roman" w:hAnsi="Times New Roman" w:cs="Times New Roman"/>
                <w:bCs/>
                <w:sz w:val="24"/>
                <w:szCs w:val="24"/>
                <w:lang w:val="en-US"/>
              </w:rPr>
              <w:t xml:space="preserve">6.1.2. </w:t>
            </w:r>
            <w:r>
              <w:rPr>
                <w:rFonts w:ascii="Times New Roman" w:hAnsi="Times New Roman" w:cs="Times New Roman"/>
                <w:bCs/>
                <w:sz w:val="24"/>
                <w:szCs w:val="24"/>
              </w:rPr>
              <w:t>dalyvavimas mokyklos savivaldos veikloje ir / ar savivaldos veiklos administravimas</w:t>
            </w:r>
          </w:p>
        </w:tc>
        <w:tc>
          <w:tcPr>
            <w:tcW w:w="4649" w:type="dxa"/>
            <w:shd w:val="clear" w:color="auto" w:fill="auto"/>
          </w:tcPr>
          <w:p w14:paraId="39FB8D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Ugdymo plano rengimo darbo grupės nariams </w:t>
            </w:r>
          </w:p>
          <w:p w14:paraId="027B3D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Veiklos plano rengimo darbo grupės nariams </w:t>
            </w:r>
          </w:p>
          <w:p w14:paraId="4D0361C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Strateginio plano rengimo darbo grupės nariams </w:t>
            </w:r>
          </w:p>
          <w:p w14:paraId="15CAB703">
            <w:pPr>
              <w:spacing w:after="0" w:line="240" w:lineRule="auto"/>
              <w:rPr>
                <w:rFonts w:ascii="Times New Roman" w:hAnsi="Times New Roman" w:eastAsia="Calibri" w:cs="Times New Roman"/>
                <w:sz w:val="24"/>
                <w:szCs w:val="24"/>
                <w:lang w:eastAsia="lt-LT"/>
              </w:rPr>
            </w:pPr>
            <w:r>
              <w:rPr>
                <w:rFonts w:ascii="Times New Roman" w:hAnsi="Times New Roman" w:cs="Times New Roman"/>
                <w:sz w:val="24"/>
                <w:szCs w:val="24"/>
              </w:rPr>
              <w:t>Mokyklos tarybos nariams</w:t>
            </w:r>
            <w:r>
              <w:rPr>
                <w:rFonts w:ascii="Times New Roman" w:hAnsi="Times New Roman" w:eastAsia="Calibri" w:cs="Times New Roman"/>
                <w:sz w:val="24"/>
                <w:szCs w:val="24"/>
                <w:lang w:eastAsia="lt-LT"/>
              </w:rPr>
              <w:t xml:space="preserve"> </w:t>
            </w:r>
          </w:p>
          <w:p w14:paraId="30117204">
            <w:pPr>
              <w:spacing w:after="0" w:line="240" w:lineRule="auto"/>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Mokinių savivaldos koordinatorius</w:t>
            </w:r>
          </w:p>
        </w:tc>
        <w:tc>
          <w:tcPr>
            <w:tcW w:w="1559" w:type="dxa"/>
            <w:shd w:val="clear" w:color="auto" w:fill="auto"/>
          </w:tcPr>
          <w:p w14:paraId="284FBE0C">
            <w:pPr>
              <w:spacing w:after="0" w:line="240" w:lineRule="auto"/>
              <w:jc w:val="left"/>
              <w:rPr>
                <w:rFonts w:ascii="Times New Roman" w:hAnsi="Times New Roman" w:eastAsia="Calibri" w:cs="Times New Roman"/>
                <w:sz w:val="24"/>
                <w:szCs w:val="24"/>
                <w:lang w:val="fr-FR" w:eastAsia="lt-LT"/>
              </w:rPr>
            </w:pPr>
            <w:r>
              <w:rPr>
                <w:rFonts w:ascii="Times New Roman" w:hAnsi="Times New Roman" w:eastAsia="Calibri" w:cs="Times New Roman"/>
                <w:sz w:val="24"/>
                <w:szCs w:val="24"/>
                <w:lang w:val="fr-FR" w:eastAsia="lt-LT"/>
              </w:rPr>
              <w:t>10 val.</w:t>
            </w:r>
          </w:p>
          <w:p w14:paraId="642C2F5A">
            <w:pPr>
              <w:spacing w:after="0" w:line="240" w:lineRule="auto"/>
              <w:jc w:val="left"/>
              <w:rPr>
                <w:rFonts w:ascii="Times New Roman" w:hAnsi="Times New Roman" w:eastAsia="Calibri" w:cs="Times New Roman"/>
                <w:sz w:val="24"/>
                <w:szCs w:val="24"/>
                <w:lang w:val="fr-FR" w:eastAsia="lt-LT"/>
              </w:rPr>
            </w:pPr>
            <w:r>
              <w:rPr>
                <w:rFonts w:ascii="Times New Roman" w:hAnsi="Times New Roman" w:eastAsia="Calibri" w:cs="Times New Roman"/>
                <w:sz w:val="24"/>
                <w:szCs w:val="24"/>
                <w:lang w:val="fr-FR" w:eastAsia="lt-LT"/>
              </w:rPr>
              <w:t>15 val.</w:t>
            </w:r>
          </w:p>
          <w:p w14:paraId="3672550F">
            <w:pPr>
              <w:spacing w:after="0" w:line="240" w:lineRule="auto"/>
              <w:jc w:val="left"/>
              <w:rPr>
                <w:rFonts w:ascii="Times New Roman" w:hAnsi="Times New Roman" w:eastAsia="Calibri" w:cs="Times New Roman"/>
                <w:sz w:val="24"/>
                <w:szCs w:val="24"/>
                <w:lang w:val="fr-FR" w:eastAsia="lt-LT"/>
              </w:rPr>
            </w:pPr>
            <w:r>
              <w:rPr>
                <w:rFonts w:ascii="Times New Roman" w:hAnsi="Times New Roman" w:eastAsia="Calibri" w:cs="Times New Roman"/>
                <w:sz w:val="24"/>
                <w:szCs w:val="24"/>
                <w:lang w:val="fr-FR" w:eastAsia="lt-LT"/>
              </w:rPr>
              <w:t>15 val.</w:t>
            </w:r>
          </w:p>
          <w:p w14:paraId="5B35EB73">
            <w:pPr>
              <w:spacing w:after="0" w:line="240" w:lineRule="auto"/>
              <w:jc w:val="left"/>
              <w:rPr>
                <w:rFonts w:ascii="Times New Roman" w:hAnsi="Times New Roman" w:eastAsia="Calibri" w:cs="Times New Roman"/>
                <w:sz w:val="24"/>
                <w:szCs w:val="24"/>
                <w:lang w:val="fr-FR" w:eastAsia="lt-LT"/>
              </w:rPr>
            </w:pPr>
          </w:p>
          <w:p w14:paraId="3E969429">
            <w:pPr>
              <w:spacing w:after="0" w:line="240" w:lineRule="auto"/>
              <w:jc w:val="left"/>
              <w:rPr>
                <w:rFonts w:ascii="Times New Roman" w:hAnsi="Times New Roman" w:eastAsia="Calibri" w:cs="Times New Roman"/>
                <w:sz w:val="24"/>
                <w:szCs w:val="24"/>
                <w:lang w:val="fr-FR" w:eastAsia="lt-LT"/>
              </w:rPr>
            </w:pPr>
            <w:r>
              <w:rPr>
                <w:rFonts w:ascii="Times New Roman" w:hAnsi="Times New Roman" w:eastAsia="Calibri" w:cs="Times New Roman"/>
                <w:sz w:val="24"/>
                <w:szCs w:val="24"/>
                <w:lang w:val="fr-FR" w:eastAsia="lt-LT"/>
              </w:rPr>
              <w:t>5 val.</w:t>
            </w:r>
          </w:p>
          <w:p w14:paraId="31BECCA0">
            <w:pPr>
              <w:spacing w:after="0" w:line="240" w:lineRule="auto"/>
              <w:jc w:val="left"/>
              <w:rPr>
                <w:rFonts w:ascii="Times New Roman" w:hAnsi="Times New Roman" w:eastAsia="Calibri" w:cs="Times New Roman"/>
                <w:sz w:val="24"/>
                <w:szCs w:val="24"/>
                <w:lang w:val="fr-FR" w:eastAsia="lt-LT"/>
              </w:rPr>
            </w:pPr>
            <w:r>
              <w:rPr>
                <w:rFonts w:ascii="Times New Roman" w:hAnsi="Times New Roman" w:eastAsia="Calibri" w:cs="Times New Roman"/>
                <w:sz w:val="24"/>
                <w:szCs w:val="24"/>
                <w:lang w:val="fr-FR" w:eastAsia="lt-LT"/>
              </w:rPr>
              <w:t>5-10 val.</w:t>
            </w:r>
          </w:p>
        </w:tc>
      </w:tr>
      <w:tr w14:paraId="78BB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8" w:hRule="atLeast"/>
        </w:trPr>
        <w:tc>
          <w:tcPr>
            <w:tcW w:w="3681" w:type="dxa"/>
            <w:shd w:val="clear" w:color="auto" w:fill="auto"/>
          </w:tcPr>
          <w:p w14:paraId="0CF2D80E">
            <w:pPr>
              <w:tabs>
                <w:tab w:val="left" w:pos="457"/>
              </w:tabs>
              <w:spacing w:after="0" w:line="240" w:lineRule="auto"/>
              <w:contextualSpacing/>
              <w:jc w:val="left"/>
              <w:rPr>
                <w:rFonts w:ascii="Times New Roman" w:hAnsi="Times New Roman" w:cs="Times New Roman"/>
                <w:sz w:val="24"/>
                <w:szCs w:val="24"/>
                <w:lang w:val="sv-SE"/>
              </w:rPr>
            </w:pPr>
            <w:r>
              <w:rPr>
                <w:rFonts w:ascii="Times New Roman" w:hAnsi="Times New Roman" w:cs="Times New Roman"/>
                <w:bCs/>
                <w:sz w:val="24"/>
                <w:szCs w:val="24"/>
                <w:lang w:val="sv-SE"/>
              </w:rPr>
              <w:t>6. 1.3. mokyklos renginių ar tikslinių edukacinių veiklų organizavimas ir dalyvavimas jose</w:t>
            </w:r>
          </w:p>
        </w:tc>
        <w:tc>
          <w:tcPr>
            <w:tcW w:w="4649" w:type="dxa"/>
            <w:shd w:val="clear" w:color="auto" w:fill="auto"/>
          </w:tcPr>
          <w:p w14:paraId="5B57441C">
            <w:pPr>
              <w:spacing w:after="0" w:line="240" w:lineRule="auto"/>
              <w:jc w:val="left"/>
              <w:rPr>
                <w:rFonts w:ascii="Times New Roman" w:hAnsi="Times New Roman" w:cs="Times New Roman"/>
                <w:sz w:val="24"/>
                <w:szCs w:val="24"/>
                <w:lang w:eastAsia="lt-LT"/>
              </w:rPr>
            </w:pPr>
            <w:r>
              <w:rPr>
                <w:rFonts w:ascii="Times New Roman" w:hAnsi="Times New Roman" w:eastAsia="Calibri" w:cs="Times New Roman"/>
                <w:sz w:val="24"/>
                <w:szCs w:val="24"/>
                <w:lang w:eastAsia="lt-LT"/>
              </w:rPr>
              <w:t xml:space="preserve">Mokyklos </w:t>
            </w:r>
            <w:r>
              <w:rPr>
                <w:rFonts w:ascii="Times New Roman" w:hAnsi="Times New Roman" w:cs="Times New Roman"/>
                <w:sz w:val="24"/>
                <w:szCs w:val="24"/>
                <w:lang w:eastAsia="lt-LT"/>
              </w:rPr>
              <w:t>(koncentro apimties) ar rajono renginių, varžybų mokykloje organizavimas ne pamokų metu</w:t>
            </w:r>
          </w:p>
          <w:p w14:paraId="3DDCDAC3">
            <w:pPr>
              <w:spacing w:after="0" w:line="240" w:lineRule="auto"/>
              <w:jc w:val="left"/>
              <w:rPr>
                <w:rFonts w:ascii="Times New Roman" w:hAnsi="Times New Roman" w:cs="Times New Roman"/>
                <w:sz w:val="24"/>
                <w:szCs w:val="24"/>
              </w:rPr>
            </w:pPr>
            <w:r>
              <w:rPr>
                <w:rFonts w:ascii="Times New Roman" w:hAnsi="Times New Roman" w:cs="Times New Roman"/>
                <w:sz w:val="24"/>
                <w:szCs w:val="24"/>
              </w:rPr>
              <w:t xml:space="preserve">Renginių organizavimui (1 renginiui) </w:t>
            </w:r>
          </w:p>
          <w:p w14:paraId="5CC13697">
            <w:pPr>
              <w:spacing w:after="0" w:line="240" w:lineRule="auto"/>
              <w:jc w:val="left"/>
              <w:rPr>
                <w:rFonts w:ascii="Times New Roman" w:hAnsi="Times New Roman" w:cs="Times New Roman"/>
                <w:sz w:val="24"/>
                <w:szCs w:val="24"/>
              </w:rPr>
            </w:pPr>
            <w:r>
              <w:rPr>
                <w:rFonts w:ascii="Times New Roman" w:hAnsi="Times New Roman" w:cs="Times New Roman"/>
                <w:sz w:val="24"/>
                <w:szCs w:val="24"/>
              </w:rPr>
              <w:t>Edukacinių veiklų organizavimas</w:t>
            </w:r>
          </w:p>
          <w:p w14:paraId="7B583131">
            <w:pPr>
              <w:spacing w:after="0" w:line="240" w:lineRule="auto"/>
              <w:jc w:val="left"/>
              <w:rPr>
                <w:rFonts w:ascii="Times New Roman" w:hAnsi="Times New Roman" w:cs="Times New Roman"/>
                <w:sz w:val="24"/>
                <w:szCs w:val="24"/>
              </w:rPr>
            </w:pPr>
            <w:r>
              <w:rPr>
                <w:rFonts w:ascii="Times New Roman" w:hAnsi="Times New Roman" w:cs="Times New Roman"/>
                <w:sz w:val="24"/>
                <w:szCs w:val="24"/>
              </w:rPr>
              <w:t xml:space="preserve">Kultūros paso koordinavimas </w:t>
            </w:r>
          </w:p>
          <w:p w14:paraId="7AFA9CF3">
            <w:pPr>
              <w:spacing w:after="0" w:line="240" w:lineRule="auto"/>
              <w:jc w:val="left"/>
              <w:rPr>
                <w:rFonts w:ascii="Times New Roman" w:hAnsi="Times New Roman" w:cs="Times New Roman"/>
                <w:color w:val="000000"/>
                <w:sz w:val="24"/>
                <w:szCs w:val="24"/>
                <w:lang w:eastAsia="lt-LT"/>
              </w:rPr>
            </w:pPr>
            <w:r>
              <w:rPr>
                <w:rFonts w:ascii="Times New Roman" w:hAnsi="Times New Roman" w:eastAsia="Calibri" w:cs="Times New Roman"/>
                <w:sz w:val="24"/>
                <w:szCs w:val="24"/>
              </w:rPr>
              <w:t>Vaikų ansamblio „Strumyk“ koncertinės veiklos koordinavimas</w:t>
            </w:r>
          </w:p>
        </w:tc>
        <w:tc>
          <w:tcPr>
            <w:tcW w:w="1559" w:type="dxa"/>
            <w:shd w:val="clear" w:color="auto" w:fill="auto"/>
          </w:tcPr>
          <w:p w14:paraId="7B641940">
            <w:pPr>
              <w:spacing w:after="0" w:line="240" w:lineRule="auto"/>
              <w:jc w:val="left"/>
              <w:rPr>
                <w:rFonts w:ascii="Times New Roman" w:hAnsi="Times New Roman" w:eastAsia="Calibri" w:cs="Times New Roman"/>
                <w:sz w:val="24"/>
                <w:szCs w:val="24"/>
              </w:rPr>
            </w:pPr>
            <w:r>
              <w:rPr>
                <w:rFonts w:ascii="Times New Roman" w:hAnsi="Times New Roman" w:eastAsia="Calibri" w:cs="Times New Roman"/>
                <w:sz w:val="24"/>
                <w:szCs w:val="24"/>
              </w:rPr>
              <w:t>1 − 5 val.</w:t>
            </w:r>
          </w:p>
          <w:p w14:paraId="4A29A51C">
            <w:pPr>
              <w:spacing w:after="0" w:line="240" w:lineRule="auto"/>
              <w:jc w:val="left"/>
              <w:rPr>
                <w:rFonts w:ascii="Times New Roman" w:hAnsi="Times New Roman" w:eastAsia="Calibri" w:cs="Times New Roman"/>
                <w:sz w:val="24"/>
                <w:szCs w:val="24"/>
              </w:rPr>
            </w:pPr>
          </w:p>
          <w:p w14:paraId="3AAFFC90">
            <w:pPr>
              <w:spacing w:after="0" w:line="240" w:lineRule="auto"/>
              <w:jc w:val="left"/>
              <w:rPr>
                <w:rFonts w:ascii="Times New Roman" w:hAnsi="Times New Roman" w:eastAsia="Calibri" w:cs="Times New Roman"/>
                <w:sz w:val="24"/>
                <w:szCs w:val="24"/>
              </w:rPr>
            </w:pPr>
          </w:p>
          <w:p w14:paraId="0C78EE8B">
            <w:pPr>
              <w:spacing w:after="0" w:line="240" w:lineRule="auto"/>
              <w:jc w:val="left"/>
              <w:rPr>
                <w:rFonts w:ascii="Times New Roman" w:hAnsi="Times New Roman" w:eastAsia="Calibri" w:cs="Times New Roman"/>
                <w:sz w:val="24"/>
                <w:szCs w:val="24"/>
              </w:rPr>
            </w:pPr>
            <w:r>
              <w:rPr>
                <w:rFonts w:ascii="Times New Roman" w:hAnsi="Times New Roman" w:eastAsia="Calibri" w:cs="Times New Roman"/>
                <w:sz w:val="24"/>
                <w:szCs w:val="24"/>
              </w:rPr>
              <w:t>3-10 val.</w:t>
            </w:r>
          </w:p>
          <w:p w14:paraId="1663EFE3">
            <w:pPr>
              <w:spacing w:after="0" w:line="240" w:lineRule="auto"/>
              <w:jc w:val="left"/>
              <w:rPr>
                <w:rFonts w:ascii="Times New Roman" w:hAnsi="Times New Roman" w:eastAsia="Calibri" w:cs="Times New Roman"/>
                <w:sz w:val="24"/>
                <w:szCs w:val="24"/>
              </w:rPr>
            </w:pPr>
            <w:r>
              <w:rPr>
                <w:rFonts w:ascii="Times New Roman" w:hAnsi="Times New Roman" w:eastAsia="Calibri" w:cs="Times New Roman"/>
                <w:sz w:val="24"/>
                <w:szCs w:val="24"/>
              </w:rPr>
              <w:t>3-10 val.</w:t>
            </w:r>
          </w:p>
          <w:p w14:paraId="12F6A372">
            <w:pPr>
              <w:spacing w:after="0" w:line="240" w:lineRule="auto"/>
              <w:jc w:val="left"/>
              <w:rPr>
                <w:rFonts w:ascii="Times New Roman" w:hAnsi="Times New Roman" w:eastAsia="Calibri" w:cs="Times New Roman"/>
                <w:sz w:val="24"/>
                <w:szCs w:val="24"/>
              </w:rPr>
            </w:pPr>
            <w:r>
              <w:rPr>
                <w:rFonts w:ascii="Times New Roman" w:hAnsi="Times New Roman" w:eastAsia="Calibri" w:cs="Times New Roman"/>
                <w:sz w:val="24"/>
                <w:szCs w:val="24"/>
              </w:rPr>
              <w:t>10-20 val.</w:t>
            </w:r>
          </w:p>
          <w:p w14:paraId="1AE906F0">
            <w:pPr>
              <w:spacing w:after="0" w:line="240" w:lineRule="auto"/>
              <w:jc w:val="left"/>
              <w:rPr>
                <w:rFonts w:ascii="Times New Roman" w:hAnsi="Times New Roman" w:eastAsia="Calibri" w:cs="Times New Roman"/>
                <w:sz w:val="24"/>
                <w:szCs w:val="24"/>
              </w:rPr>
            </w:pPr>
            <w:r>
              <w:rPr>
                <w:rFonts w:ascii="Times New Roman" w:hAnsi="Times New Roman" w:eastAsia="Calibri" w:cs="Times New Roman"/>
                <w:sz w:val="24"/>
                <w:szCs w:val="24"/>
              </w:rPr>
              <w:t>5-10 val.</w:t>
            </w:r>
          </w:p>
        </w:tc>
      </w:tr>
      <w:tr w14:paraId="1AAA8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58A7AC9C">
            <w:pPr>
              <w:tabs>
                <w:tab w:val="left" w:pos="457"/>
              </w:tabs>
              <w:spacing w:after="0" w:line="240" w:lineRule="auto"/>
              <w:contextualSpacing/>
              <w:jc w:val="left"/>
              <w:rPr>
                <w:rFonts w:ascii="Times New Roman" w:hAnsi="Times New Roman" w:cs="Times New Roman"/>
                <w:sz w:val="24"/>
                <w:szCs w:val="24"/>
              </w:rPr>
            </w:pPr>
            <w:r>
              <w:rPr>
                <w:rFonts w:ascii="Times New Roman" w:hAnsi="Times New Roman" w:cs="Times New Roman"/>
                <w:bCs/>
                <w:sz w:val="24"/>
                <w:szCs w:val="24"/>
              </w:rPr>
              <w:t>6.1.4.  mokyklos informacinių technologijų diegimo ir taikymo ugdymo procese, socialinių tinklų grupių veiklos koordinavimas</w:t>
            </w:r>
          </w:p>
        </w:tc>
        <w:tc>
          <w:tcPr>
            <w:tcW w:w="4649" w:type="dxa"/>
            <w:shd w:val="clear" w:color="auto" w:fill="auto"/>
          </w:tcPr>
          <w:p w14:paraId="3395CE30">
            <w:pPr>
              <w:spacing w:after="0" w:line="240" w:lineRule="auto"/>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Socialinių tinklų koordinavimas</w:t>
            </w:r>
          </w:p>
          <w:p w14:paraId="72DC243B">
            <w:pPr>
              <w:spacing w:after="0" w:line="240" w:lineRule="auto"/>
              <w:rPr>
                <w:rFonts w:ascii="Times New Roman" w:hAnsi="Times New Roman" w:eastAsia="Calibri" w:cs="Times New Roman"/>
                <w:sz w:val="24"/>
                <w:szCs w:val="24"/>
                <w:lang w:eastAsia="lt-LT"/>
              </w:rPr>
            </w:pPr>
            <w:r>
              <w:rPr>
                <w:rFonts w:ascii="Times New Roman" w:hAnsi="Times New Roman" w:eastAsia="Calibri" w:cs="Times New Roman"/>
                <w:sz w:val="24"/>
                <w:szCs w:val="24"/>
              </w:rPr>
              <w:t xml:space="preserve">Mano dienyno administravimas </w:t>
            </w:r>
          </w:p>
          <w:p w14:paraId="0266DD41">
            <w:pPr>
              <w:spacing w:after="0" w:line="240" w:lineRule="auto"/>
              <w:rPr>
                <w:rFonts w:ascii="Times New Roman" w:hAnsi="Times New Roman" w:eastAsia="Calibri" w:cs="Times New Roman"/>
                <w:sz w:val="24"/>
                <w:szCs w:val="24"/>
                <w:lang w:eastAsia="lt-LT"/>
              </w:rPr>
            </w:pPr>
          </w:p>
        </w:tc>
        <w:tc>
          <w:tcPr>
            <w:tcW w:w="1559" w:type="dxa"/>
            <w:shd w:val="clear" w:color="auto" w:fill="auto"/>
          </w:tcPr>
          <w:p w14:paraId="3F42B6CB">
            <w:pPr>
              <w:spacing w:after="0" w:line="240" w:lineRule="auto"/>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37 val.</w:t>
            </w:r>
          </w:p>
          <w:p w14:paraId="7D6B5BB7">
            <w:pPr>
              <w:spacing w:after="0" w:line="240" w:lineRule="auto"/>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 xml:space="preserve">37 val. </w:t>
            </w:r>
          </w:p>
        </w:tc>
      </w:tr>
      <w:tr w14:paraId="2FD9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889" w:type="dxa"/>
            <w:gridSpan w:val="3"/>
            <w:shd w:val="clear" w:color="auto" w:fill="auto"/>
          </w:tcPr>
          <w:p w14:paraId="1B26856D">
            <w:pPr>
              <w:spacing w:after="0" w:line="240" w:lineRule="auto"/>
              <w:jc w:val="center"/>
              <w:rPr>
                <w:rFonts w:ascii="Times New Roman" w:hAnsi="Times New Roman" w:eastAsia="Calibri" w:cs="Times New Roman"/>
                <w:b/>
                <w:bCs/>
                <w:sz w:val="24"/>
                <w:szCs w:val="24"/>
                <w:u w:val="single"/>
                <w:lang w:eastAsia="lt-LT"/>
              </w:rPr>
            </w:pPr>
            <w:r>
              <w:rPr>
                <w:rFonts w:ascii="Times New Roman" w:hAnsi="Times New Roman" w:eastAsia="Calibri" w:cs="Times New Roman"/>
                <w:b/>
                <w:bCs/>
                <w:sz w:val="24"/>
                <w:szCs w:val="24"/>
                <w:u w:val="single"/>
                <w:lang w:eastAsia="lt-LT"/>
              </w:rPr>
              <w:t>6.2. Mokyklos ugdymo turinio formavimo veiklos</w:t>
            </w:r>
          </w:p>
        </w:tc>
      </w:tr>
      <w:tr w14:paraId="7A98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445DCEAA">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 xml:space="preserve">6.2.1. bendrų dalyko ar ugdymo srities veiklų koordinavimas ir dalyvavimas jose; </w:t>
            </w:r>
          </w:p>
        </w:tc>
        <w:tc>
          <w:tcPr>
            <w:tcW w:w="4649" w:type="dxa"/>
            <w:shd w:val="clear" w:color="auto" w:fill="auto"/>
          </w:tcPr>
          <w:p w14:paraId="5DCE23FA">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Vadovavimas metodinėms grupėms</w:t>
            </w:r>
          </w:p>
          <w:p w14:paraId="48470DF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Metodinės tarybos nariams </w:t>
            </w:r>
          </w:p>
          <w:p w14:paraId="39731462">
            <w:pPr>
              <w:spacing w:after="0" w:line="240" w:lineRule="auto"/>
              <w:rPr>
                <w:rFonts w:ascii="Times New Roman" w:hAnsi="Times New Roman" w:eastAsia="Calibri" w:cs="Times New Roman"/>
                <w:sz w:val="24"/>
                <w:szCs w:val="24"/>
                <w:lang w:eastAsia="lt-LT"/>
              </w:rPr>
            </w:pPr>
            <w:r>
              <w:rPr>
                <w:rFonts w:ascii="Times New Roman" w:hAnsi="Times New Roman" w:eastAsia="Calibri" w:cs="Times New Roman"/>
                <w:sz w:val="24"/>
                <w:szCs w:val="24"/>
              </w:rPr>
              <w:t>,,Macierz szkolna“ koordinatorius</w:t>
            </w:r>
          </w:p>
        </w:tc>
        <w:tc>
          <w:tcPr>
            <w:tcW w:w="1559" w:type="dxa"/>
            <w:shd w:val="clear" w:color="auto" w:fill="auto"/>
          </w:tcPr>
          <w:p w14:paraId="0EE1BAF0">
            <w:pPr>
              <w:spacing w:after="0" w:line="240" w:lineRule="auto"/>
              <w:jc w:val="left"/>
              <w:rPr>
                <w:rFonts w:ascii="Times New Roman" w:hAnsi="Times New Roman" w:eastAsia="Calibri" w:cs="Times New Roman"/>
                <w:sz w:val="24"/>
                <w:szCs w:val="24"/>
                <w:lang w:val="en-GB" w:eastAsia="lt-LT"/>
              </w:rPr>
            </w:pPr>
            <w:r>
              <w:rPr>
                <w:rFonts w:ascii="Times New Roman" w:hAnsi="Times New Roman" w:eastAsia="Calibri" w:cs="Times New Roman"/>
                <w:sz w:val="24"/>
                <w:szCs w:val="24"/>
                <w:lang w:val="en-GB" w:eastAsia="lt-LT"/>
              </w:rPr>
              <w:t>15 val.</w:t>
            </w:r>
          </w:p>
          <w:p w14:paraId="04CD39AC">
            <w:pPr>
              <w:spacing w:after="0" w:line="240" w:lineRule="auto"/>
              <w:jc w:val="left"/>
              <w:rPr>
                <w:rFonts w:ascii="Times New Roman" w:hAnsi="Times New Roman" w:eastAsia="Calibri" w:cs="Times New Roman"/>
                <w:sz w:val="24"/>
                <w:szCs w:val="24"/>
                <w:lang w:val="en-GB" w:eastAsia="lt-LT"/>
              </w:rPr>
            </w:pPr>
            <w:r>
              <w:rPr>
                <w:rFonts w:ascii="Times New Roman" w:hAnsi="Times New Roman" w:eastAsia="Calibri" w:cs="Times New Roman"/>
                <w:sz w:val="24"/>
                <w:szCs w:val="24"/>
                <w:lang w:val="en-GB" w:eastAsia="lt-LT"/>
              </w:rPr>
              <w:t>5-10 val.</w:t>
            </w:r>
          </w:p>
          <w:p w14:paraId="502A1C9A">
            <w:pPr>
              <w:spacing w:after="0" w:line="240" w:lineRule="auto"/>
              <w:jc w:val="left"/>
              <w:rPr>
                <w:rFonts w:ascii="Times New Roman" w:hAnsi="Times New Roman" w:eastAsia="Calibri" w:cs="Times New Roman"/>
                <w:sz w:val="24"/>
                <w:szCs w:val="24"/>
                <w:lang w:val="en-GB" w:eastAsia="lt-LT"/>
              </w:rPr>
            </w:pPr>
            <w:r>
              <w:rPr>
                <w:rFonts w:ascii="Times New Roman" w:hAnsi="Times New Roman" w:eastAsia="Calibri" w:cs="Times New Roman"/>
                <w:sz w:val="24"/>
                <w:szCs w:val="24"/>
                <w:lang w:val="en-GB" w:eastAsia="lt-LT"/>
              </w:rPr>
              <w:t>5-10 val.</w:t>
            </w:r>
          </w:p>
        </w:tc>
      </w:tr>
      <w:tr w14:paraId="1D92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39C5B2CF">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6.2.2. mokyklos ugdymo turiniui įgyvendinti skirtų programų, dalyko kurso ar dalyko modulio programų rengimas</w:t>
            </w:r>
          </w:p>
        </w:tc>
        <w:tc>
          <w:tcPr>
            <w:tcW w:w="4649" w:type="dxa"/>
            <w:shd w:val="clear" w:color="auto" w:fill="auto"/>
          </w:tcPr>
          <w:p w14:paraId="706994B9">
            <w:pPr>
              <w:spacing w:after="0" w:line="240" w:lineRule="auto"/>
              <w:jc w:val="left"/>
              <w:rPr>
                <w:rFonts w:ascii="Times New Roman" w:hAnsi="Times New Roman" w:eastAsia="Calibri" w:cs="Times New Roman"/>
                <w:sz w:val="24"/>
                <w:szCs w:val="24"/>
              </w:rPr>
            </w:pPr>
            <w:r>
              <w:rPr>
                <w:rFonts w:ascii="Times New Roman" w:hAnsi="Times New Roman" w:eastAsia="Calibri" w:cs="Times New Roman"/>
                <w:sz w:val="24"/>
                <w:szCs w:val="24"/>
              </w:rPr>
              <w:t>Bitininkystės programos koordinatorius</w:t>
            </w:r>
          </w:p>
          <w:p w14:paraId="263C0ED2">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rPr>
              <w:t xml:space="preserve">Bitininkystės programos integravimas į dalykus </w:t>
            </w:r>
          </w:p>
        </w:tc>
        <w:tc>
          <w:tcPr>
            <w:tcW w:w="1559" w:type="dxa"/>
            <w:shd w:val="clear" w:color="auto" w:fill="auto"/>
          </w:tcPr>
          <w:p w14:paraId="6911582B">
            <w:pPr>
              <w:spacing w:after="0" w:line="240" w:lineRule="auto"/>
              <w:jc w:val="left"/>
              <w:rPr>
                <w:rFonts w:ascii="Times New Roman" w:hAnsi="Times New Roman" w:eastAsia="Calibri" w:cs="Times New Roman"/>
                <w:sz w:val="24"/>
                <w:szCs w:val="24"/>
                <w:lang w:val="en-GB" w:eastAsia="lt-LT"/>
              </w:rPr>
            </w:pPr>
            <w:r>
              <w:rPr>
                <w:rFonts w:ascii="Times New Roman" w:hAnsi="Times New Roman" w:eastAsia="Calibri" w:cs="Times New Roman"/>
                <w:sz w:val="24"/>
                <w:szCs w:val="24"/>
                <w:lang w:val="en-GB" w:eastAsia="lt-LT"/>
              </w:rPr>
              <w:t>5-25 val.</w:t>
            </w:r>
          </w:p>
          <w:p w14:paraId="43689113">
            <w:pPr>
              <w:spacing w:after="0" w:line="240" w:lineRule="auto"/>
              <w:jc w:val="left"/>
              <w:rPr>
                <w:rFonts w:ascii="Times New Roman" w:hAnsi="Times New Roman" w:eastAsia="Calibri" w:cs="Times New Roman"/>
                <w:sz w:val="24"/>
                <w:szCs w:val="24"/>
                <w:lang w:val="en-GB" w:eastAsia="lt-LT"/>
              </w:rPr>
            </w:pPr>
            <w:r>
              <w:rPr>
                <w:rFonts w:ascii="Times New Roman" w:hAnsi="Times New Roman" w:eastAsia="Calibri" w:cs="Times New Roman"/>
                <w:sz w:val="24"/>
                <w:szCs w:val="24"/>
                <w:lang w:val="en-GB" w:eastAsia="lt-LT"/>
              </w:rPr>
              <w:t>5-15 val.</w:t>
            </w:r>
          </w:p>
        </w:tc>
      </w:tr>
      <w:tr w14:paraId="66BB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3681" w:type="dxa"/>
            <w:shd w:val="clear" w:color="auto" w:fill="auto"/>
          </w:tcPr>
          <w:p w14:paraId="113C670C">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6.2.3. mokyklos projektų, skirtų mokyklos ugdymo turiniui kurti ir įgyvendinti, rengimas ir jų įgyvendinimas</w:t>
            </w:r>
          </w:p>
        </w:tc>
        <w:tc>
          <w:tcPr>
            <w:tcW w:w="4649" w:type="dxa"/>
            <w:shd w:val="clear" w:color="auto" w:fill="auto"/>
          </w:tcPr>
          <w:p w14:paraId="5549EC7C">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Mokyklos direktoriaus įsakymu patvirtinto gimnazijos lygio projekto rengimas ir įgyvendinimas</w:t>
            </w:r>
          </w:p>
          <w:p w14:paraId="10022292">
            <w:pPr>
              <w:spacing w:after="0" w:line="240" w:lineRule="auto"/>
              <w:jc w:val="left"/>
              <w:rPr>
                <w:rFonts w:ascii="Times New Roman" w:hAnsi="Times New Roman" w:eastAsia="Calibri" w:cs="Times New Roman"/>
                <w:sz w:val="24"/>
                <w:szCs w:val="24"/>
                <w:lang w:eastAsia="lt-LT"/>
              </w:rPr>
            </w:pPr>
          </w:p>
        </w:tc>
        <w:tc>
          <w:tcPr>
            <w:tcW w:w="1559" w:type="dxa"/>
            <w:shd w:val="clear" w:color="auto" w:fill="auto"/>
          </w:tcPr>
          <w:p w14:paraId="3CF5067E">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 xml:space="preserve">Individualiai </w:t>
            </w:r>
          </w:p>
          <w:p w14:paraId="1F06E63E">
            <w:pPr>
              <w:spacing w:after="0" w:line="240" w:lineRule="auto"/>
              <w:jc w:val="left"/>
              <w:rPr>
                <w:rFonts w:ascii="Times New Roman" w:hAnsi="Times New Roman" w:eastAsia="Calibri" w:cs="Times New Roman"/>
                <w:sz w:val="24"/>
                <w:szCs w:val="24"/>
                <w:lang w:eastAsia="lt-LT"/>
              </w:rPr>
            </w:pPr>
          </w:p>
        </w:tc>
      </w:tr>
      <w:tr w14:paraId="293A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3681" w:type="dxa"/>
            <w:shd w:val="clear" w:color="auto" w:fill="auto"/>
          </w:tcPr>
          <w:p w14:paraId="477D4510">
            <w:pPr>
              <w:spacing w:after="0" w:line="240" w:lineRule="auto"/>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6.2.4. dalyvavimas tarptautiniuose, nacionaliniuose ir / ar regioniniuose projektuose ir / ar jų įgyvendinimas</w:t>
            </w:r>
          </w:p>
        </w:tc>
        <w:tc>
          <w:tcPr>
            <w:tcW w:w="4649" w:type="dxa"/>
            <w:shd w:val="clear" w:color="auto" w:fill="auto"/>
          </w:tcPr>
          <w:p w14:paraId="2BCF5A8B">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Dalyvavimas projektuose, mokyklos direktoriui patvirtinus įsakymu</w:t>
            </w:r>
          </w:p>
          <w:p w14:paraId="4CD15745">
            <w:pPr>
              <w:spacing w:after="0" w:line="240" w:lineRule="auto"/>
              <w:jc w:val="left"/>
              <w:rPr>
                <w:rFonts w:ascii="Times New Roman" w:hAnsi="Times New Roman" w:eastAsia="Calibri" w:cs="Times New Roman"/>
                <w:sz w:val="24"/>
                <w:szCs w:val="24"/>
                <w:lang w:eastAsia="lt-LT"/>
              </w:rPr>
            </w:pPr>
          </w:p>
        </w:tc>
        <w:tc>
          <w:tcPr>
            <w:tcW w:w="1559" w:type="dxa"/>
            <w:shd w:val="clear" w:color="auto" w:fill="auto"/>
          </w:tcPr>
          <w:p w14:paraId="160DC491">
            <w:pPr>
              <w:spacing w:after="0" w:line="240" w:lineRule="auto"/>
              <w:jc w:val="left"/>
              <w:rPr>
                <w:rFonts w:ascii="Times New Roman" w:hAnsi="Times New Roman" w:eastAsia="Calibri" w:cs="Times New Roman"/>
                <w:sz w:val="24"/>
                <w:szCs w:val="24"/>
                <w:lang w:val="en-GB" w:eastAsia="lt-LT"/>
              </w:rPr>
            </w:pPr>
            <w:r>
              <w:rPr>
                <w:rFonts w:ascii="Times New Roman" w:hAnsi="Times New Roman" w:eastAsia="Calibri" w:cs="Times New Roman"/>
                <w:sz w:val="24"/>
                <w:szCs w:val="24"/>
                <w:lang w:eastAsia="lt-LT"/>
              </w:rPr>
              <w:t>Individualiai</w:t>
            </w:r>
            <w:r>
              <w:rPr>
                <w:rFonts w:ascii="Times New Roman" w:hAnsi="Times New Roman" w:eastAsia="Calibri" w:cs="Times New Roman"/>
                <w:sz w:val="24"/>
                <w:szCs w:val="24"/>
                <w:lang w:val="en-GB" w:eastAsia="lt-LT"/>
              </w:rPr>
              <w:t xml:space="preserve"> </w:t>
            </w:r>
          </w:p>
        </w:tc>
      </w:tr>
      <w:tr w14:paraId="3A6E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495764BF">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6.2.5. informacinių komunikacijos technologijų taikymo ugdymo turinyje, skaitmeninio ugdymo turinio kūrimo veiklų koordinavimas</w:t>
            </w:r>
          </w:p>
        </w:tc>
        <w:tc>
          <w:tcPr>
            <w:tcW w:w="4649" w:type="dxa"/>
            <w:shd w:val="clear" w:color="auto" w:fill="auto"/>
          </w:tcPr>
          <w:p w14:paraId="2386BF30">
            <w:pPr>
              <w:spacing w:after="0" w:line="240" w:lineRule="auto"/>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Informacinių komunikacijos technologijų taikymas ugdymo turinyje;</w:t>
            </w:r>
          </w:p>
          <w:p w14:paraId="2C624331">
            <w:pPr>
              <w:spacing w:after="0" w:line="240" w:lineRule="auto"/>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Skaitmeninio ugdymo turinio kūrimas;</w:t>
            </w:r>
          </w:p>
          <w:p w14:paraId="560FACF1">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Skaitmeninio ugdymo turinio kūrimo veiklų koordinavimas.</w:t>
            </w:r>
          </w:p>
        </w:tc>
        <w:tc>
          <w:tcPr>
            <w:tcW w:w="1559" w:type="dxa"/>
            <w:shd w:val="clear" w:color="auto" w:fill="auto"/>
          </w:tcPr>
          <w:p w14:paraId="326A7DF5">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Individualiai</w:t>
            </w:r>
          </w:p>
        </w:tc>
      </w:tr>
      <w:tr w14:paraId="63E9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3681" w:type="dxa"/>
            <w:shd w:val="clear" w:color="auto" w:fill="auto"/>
          </w:tcPr>
          <w:p w14:paraId="4AFE4CF9">
            <w:pPr>
              <w:spacing w:after="200" w:line="240" w:lineRule="auto"/>
              <w:contextualSpacing/>
              <w:jc w:val="left"/>
              <w:rPr>
                <w:rFonts w:ascii="Times New Roman" w:hAnsi="Times New Roman" w:cs="Times New Roman"/>
                <w:sz w:val="24"/>
                <w:szCs w:val="24"/>
              </w:rPr>
            </w:pPr>
            <w:r>
              <w:rPr>
                <w:rFonts w:ascii="Times New Roman" w:hAnsi="Times New Roman" w:cs="Times New Roman"/>
                <w:bCs/>
                <w:sz w:val="24"/>
                <w:szCs w:val="24"/>
              </w:rPr>
              <w:t>6.2.6. edukacinių erdvių, mokymosi aplinkų, ugdymo priemonių kūrimas ir priežiūra</w:t>
            </w:r>
          </w:p>
        </w:tc>
        <w:tc>
          <w:tcPr>
            <w:tcW w:w="4649" w:type="dxa"/>
            <w:shd w:val="clear" w:color="auto" w:fill="auto"/>
          </w:tcPr>
          <w:p w14:paraId="18DBC925">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 xml:space="preserve">Gimnazijos erdvių kūrimas   </w:t>
            </w:r>
          </w:p>
          <w:p w14:paraId="42C05E5E">
            <w:pPr>
              <w:spacing w:after="0" w:line="240" w:lineRule="auto"/>
              <w:jc w:val="left"/>
              <w:rPr>
                <w:rFonts w:ascii="Times New Roman" w:hAnsi="Times New Roman" w:eastAsia="Calibri" w:cs="Times New Roman"/>
                <w:sz w:val="24"/>
                <w:szCs w:val="24"/>
                <w:lang w:eastAsia="lt-LT"/>
              </w:rPr>
            </w:pPr>
          </w:p>
        </w:tc>
        <w:tc>
          <w:tcPr>
            <w:tcW w:w="1559" w:type="dxa"/>
            <w:shd w:val="clear" w:color="auto" w:fill="auto"/>
          </w:tcPr>
          <w:p w14:paraId="68F11264">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5 − 10 val.</w:t>
            </w:r>
          </w:p>
          <w:p w14:paraId="035B62CB">
            <w:pPr>
              <w:spacing w:after="0" w:line="240" w:lineRule="auto"/>
              <w:jc w:val="left"/>
              <w:rPr>
                <w:rFonts w:ascii="Times New Roman" w:hAnsi="Times New Roman" w:eastAsia="Calibri" w:cs="Times New Roman"/>
                <w:sz w:val="24"/>
                <w:szCs w:val="24"/>
                <w:lang w:eastAsia="lt-LT"/>
              </w:rPr>
            </w:pPr>
          </w:p>
        </w:tc>
      </w:tr>
      <w:tr w14:paraId="04F7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9889" w:type="dxa"/>
            <w:gridSpan w:val="3"/>
            <w:shd w:val="clear" w:color="auto" w:fill="auto"/>
          </w:tcPr>
          <w:p w14:paraId="194847D0">
            <w:pPr>
              <w:spacing w:after="0" w:line="240" w:lineRule="auto"/>
              <w:jc w:val="center"/>
              <w:rPr>
                <w:rFonts w:ascii="Times New Roman" w:hAnsi="Times New Roman" w:eastAsia="Calibri" w:cs="Times New Roman"/>
                <w:sz w:val="24"/>
                <w:szCs w:val="24"/>
                <w:lang w:eastAsia="lt-LT"/>
              </w:rPr>
            </w:pPr>
            <w:r>
              <w:rPr>
                <w:rFonts w:ascii="Times New Roman" w:hAnsi="Times New Roman" w:eastAsia="Calibri" w:cs="Times New Roman"/>
                <w:b/>
                <w:bCs/>
                <w:sz w:val="24"/>
                <w:szCs w:val="24"/>
                <w:u w:val="single"/>
                <w:lang w:eastAsia="lt-LT"/>
              </w:rPr>
              <w:t>6.3.Konsultavimo ir patirties sklaidos veiklos:</w:t>
            </w:r>
          </w:p>
        </w:tc>
      </w:tr>
      <w:tr w14:paraId="0EC0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2C7C90B8">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6.3.1. pedagoginių darbuotojų didaktinis, dalykinis konsultavimas</w:t>
            </w:r>
          </w:p>
        </w:tc>
        <w:tc>
          <w:tcPr>
            <w:tcW w:w="4649" w:type="dxa"/>
            <w:shd w:val="clear" w:color="auto" w:fill="auto"/>
          </w:tcPr>
          <w:p w14:paraId="41C8B68A">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Mentorystė</w:t>
            </w:r>
          </w:p>
        </w:tc>
        <w:tc>
          <w:tcPr>
            <w:tcW w:w="1559" w:type="dxa"/>
            <w:shd w:val="clear" w:color="auto" w:fill="auto"/>
          </w:tcPr>
          <w:p w14:paraId="4C0FA1DA">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10 – 20 val.</w:t>
            </w:r>
          </w:p>
        </w:tc>
      </w:tr>
      <w:tr w14:paraId="051C4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1C4CF265">
            <w:pPr>
              <w:spacing w:after="0" w:line="240" w:lineRule="auto"/>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6.3.2. kvalifikacijos tobulinimo programų rengimas ir įgyvendinimas mokykloje</w:t>
            </w:r>
          </w:p>
        </w:tc>
        <w:tc>
          <w:tcPr>
            <w:tcW w:w="4649" w:type="dxa"/>
            <w:shd w:val="clear" w:color="auto" w:fill="auto"/>
          </w:tcPr>
          <w:p w14:paraId="4EFBC650">
            <w:pPr>
              <w:spacing w:after="0" w:line="240" w:lineRule="auto"/>
              <w:jc w:val="left"/>
              <w:rPr>
                <w:rFonts w:ascii="Times New Roman" w:hAnsi="Times New Roman" w:eastAsia="Calibri" w:cs="Times New Roman"/>
                <w:sz w:val="24"/>
                <w:szCs w:val="24"/>
                <w:lang w:eastAsia="lt-LT"/>
              </w:rPr>
            </w:pPr>
            <w:r>
              <w:rPr>
                <w:rFonts w:ascii="Times New Roman" w:hAnsi="Times New Roman" w:cs="Times New Roman"/>
                <w:color w:val="000000" w:themeColor="text1"/>
                <w:sz w:val="24"/>
                <w:szCs w:val="24"/>
                <w14:textFill>
                  <w14:solidFill>
                    <w14:schemeClr w14:val="tx1"/>
                  </w14:solidFill>
                </w14:textFill>
              </w:rPr>
              <w:t>Kvalifikacijos programų, mokymų rengimas ir įgyvendinimas mokykloje</w:t>
            </w:r>
          </w:p>
          <w:p w14:paraId="2BF3B8B1">
            <w:pPr>
              <w:spacing w:after="0" w:line="240" w:lineRule="auto"/>
              <w:jc w:val="left"/>
              <w:rPr>
                <w:rFonts w:ascii="Times New Roman" w:hAnsi="Times New Roman" w:eastAsia="Calibri" w:cs="Times New Roman"/>
                <w:sz w:val="24"/>
                <w:szCs w:val="24"/>
                <w:lang w:eastAsia="lt-LT"/>
              </w:rPr>
            </w:pPr>
          </w:p>
        </w:tc>
        <w:tc>
          <w:tcPr>
            <w:tcW w:w="1559" w:type="dxa"/>
            <w:shd w:val="clear" w:color="auto" w:fill="auto"/>
          </w:tcPr>
          <w:p w14:paraId="400118AC">
            <w:pPr>
              <w:spacing w:after="0" w:line="240" w:lineRule="auto"/>
              <w:jc w:val="left"/>
              <w:rPr>
                <w:rFonts w:ascii="Times New Roman" w:hAnsi="Times New Roman" w:eastAsia="Calibri" w:cs="Times New Roman"/>
                <w:sz w:val="24"/>
                <w:szCs w:val="24"/>
                <w:lang w:val="en-GB" w:eastAsia="lt-LT"/>
              </w:rPr>
            </w:pPr>
            <w:r>
              <w:rPr>
                <w:rFonts w:ascii="Times New Roman" w:hAnsi="Times New Roman" w:eastAsia="Calibri" w:cs="Times New Roman"/>
                <w:sz w:val="24"/>
                <w:szCs w:val="24"/>
                <w:lang w:val="en-GB" w:eastAsia="lt-LT"/>
              </w:rPr>
              <w:t>3 − 10 val.</w:t>
            </w:r>
          </w:p>
        </w:tc>
      </w:tr>
      <w:tr w14:paraId="1687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9889" w:type="dxa"/>
            <w:gridSpan w:val="3"/>
            <w:shd w:val="clear" w:color="auto" w:fill="auto"/>
          </w:tcPr>
          <w:p w14:paraId="28927B10">
            <w:pPr>
              <w:spacing w:after="0" w:line="240" w:lineRule="auto"/>
              <w:jc w:val="center"/>
              <w:rPr>
                <w:rFonts w:ascii="Times New Roman" w:hAnsi="Times New Roman" w:eastAsia="Calibri" w:cs="Times New Roman"/>
                <w:b/>
                <w:sz w:val="24"/>
                <w:szCs w:val="24"/>
                <w:lang w:eastAsia="lt-LT"/>
              </w:rPr>
            </w:pPr>
            <w:r>
              <w:rPr>
                <w:rFonts w:ascii="Times New Roman" w:hAnsi="Times New Roman" w:eastAsia="Calibri" w:cs="Times New Roman"/>
                <w:b/>
                <w:bCs/>
                <w:sz w:val="24"/>
                <w:szCs w:val="24"/>
                <w:u w:val="single"/>
                <w:lang w:eastAsia="lt-LT"/>
              </w:rPr>
              <w:t>6.4. Vertinimo, ekspertavimo veiklos:</w:t>
            </w:r>
          </w:p>
        </w:tc>
      </w:tr>
      <w:tr w14:paraId="7AD5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7588491B">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 xml:space="preserve">6.4.1. pagrindinio ugdymo pasiekimų patikrinimų, nacionalinio mokinių mokymosi pasiekimų patikrinimų ir kitų mokymosi pasiekimų patikrinimų vykdymas </w:t>
            </w:r>
          </w:p>
        </w:tc>
        <w:tc>
          <w:tcPr>
            <w:tcW w:w="4649" w:type="dxa"/>
            <w:shd w:val="clear" w:color="auto" w:fill="auto"/>
          </w:tcPr>
          <w:p w14:paraId="086999A2">
            <w:pPr>
              <w:spacing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Patikrinimų vykdymas (ne pamokų metu)</w:t>
            </w:r>
          </w:p>
          <w:p w14:paraId="5637830A">
            <w:pPr>
              <w:spacing w:after="0" w:line="240" w:lineRule="auto"/>
              <w:jc w:val="left"/>
              <w:rPr>
                <w:rFonts w:ascii="Times New Roman" w:hAnsi="Times New Roman" w:eastAsia="Calibri" w:cs="Times New Roman"/>
                <w:sz w:val="24"/>
                <w:szCs w:val="24"/>
                <w:lang w:eastAsia="lt-LT"/>
              </w:rPr>
            </w:pPr>
          </w:p>
        </w:tc>
        <w:tc>
          <w:tcPr>
            <w:tcW w:w="1559" w:type="dxa"/>
            <w:shd w:val="clear" w:color="auto" w:fill="auto"/>
          </w:tcPr>
          <w:p w14:paraId="2AAAF066">
            <w:pPr>
              <w:spacing w:after="0" w:line="240" w:lineRule="auto"/>
              <w:jc w:val="left"/>
              <w:rPr>
                <w:rFonts w:ascii="Times New Roman" w:hAnsi="Times New Roman" w:eastAsia="Calibri" w:cs="Times New Roman"/>
                <w:sz w:val="24"/>
                <w:szCs w:val="24"/>
                <w:lang w:val="fr-FR" w:eastAsia="lt-LT"/>
              </w:rPr>
            </w:pPr>
            <w:r>
              <w:rPr>
                <w:rFonts w:ascii="Times New Roman" w:hAnsi="Times New Roman" w:eastAsia="Calibri" w:cs="Times New Roman"/>
                <w:sz w:val="24"/>
                <w:szCs w:val="24"/>
                <w:lang w:val="fr-FR" w:eastAsia="lt-LT"/>
              </w:rPr>
              <w:t>1 - 4 val.</w:t>
            </w:r>
          </w:p>
        </w:tc>
      </w:tr>
      <w:tr w14:paraId="490D2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629546FC">
            <w:pPr>
              <w:spacing w:after="0" w:line="240" w:lineRule="auto"/>
              <w:jc w:val="left"/>
              <w:rPr>
                <w:rFonts w:ascii="Times New Roman" w:hAnsi="Times New Roman" w:eastAsia="Calibri" w:cs="Times New Roman"/>
                <w:bCs/>
                <w:sz w:val="24"/>
                <w:szCs w:val="24"/>
                <w:lang w:eastAsia="lt-LT"/>
              </w:rPr>
            </w:pPr>
            <w:r>
              <w:rPr>
                <w:rFonts w:ascii="Times New Roman" w:hAnsi="Times New Roman" w:eastAsia="Calibri" w:cs="Times New Roman"/>
                <w:bCs/>
                <w:sz w:val="24"/>
                <w:szCs w:val="24"/>
                <w:lang w:eastAsia="lt-LT"/>
              </w:rPr>
              <w:t>6.4.2. mokyklos inicijuotų mokinių mokymosi pasiekimų patikrinimų užduočių rengimas</w:t>
            </w:r>
          </w:p>
        </w:tc>
        <w:tc>
          <w:tcPr>
            <w:tcW w:w="4649" w:type="dxa"/>
            <w:shd w:val="clear" w:color="auto" w:fill="auto"/>
          </w:tcPr>
          <w:p w14:paraId="13D125C4">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Mokymosi pasiekimų patikrinimų užduočių rengimas</w:t>
            </w:r>
          </w:p>
        </w:tc>
        <w:tc>
          <w:tcPr>
            <w:tcW w:w="1559" w:type="dxa"/>
            <w:shd w:val="clear" w:color="auto" w:fill="auto"/>
          </w:tcPr>
          <w:p w14:paraId="59A2791D">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Individualiai</w:t>
            </w:r>
          </w:p>
        </w:tc>
      </w:tr>
      <w:tr w14:paraId="7F74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19AF13E9">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6.4.3. mokytojų praktinės veiklos ir / ar ugdymo proceso vertinimas</w:t>
            </w:r>
          </w:p>
        </w:tc>
        <w:tc>
          <w:tcPr>
            <w:tcW w:w="4649" w:type="dxa"/>
            <w:shd w:val="clear" w:color="auto" w:fill="auto"/>
          </w:tcPr>
          <w:p w14:paraId="6C9B9168">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Mokytojų atestacijos pamokų stebėjimas, dokumentų tvarkymas</w:t>
            </w:r>
          </w:p>
        </w:tc>
        <w:tc>
          <w:tcPr>
            <w:tcW w:w="1559" w:type="dxa"/>
            <w:shd w:val="clear" w:color="auto" w:fill="auto"/>
          </w:tcPr>
          <w:p w14:paraId="272632BA">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Individualiai</w:t>
            </w:r>
          </w:p>
        </w:tc>
      </w:tr>
      <w:tr w14:paraId="14D24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9889" w:type="dxa"/>
            <w:gridSpan w:val="3"/>
            <w:shd w:val="clear" w:color="auto" w:fill="auto"/>
          </w:tcPr>
          <w:p w14:paraId="3EAD2E33">
            <w:pPr>
              <w:spacing w:after="0" w:line="240" w:lineRule="auto"/>
              <w:jc w:val="center"/>
              <w:rPr>
                <w:rFonts w:ascii="Times New Roman" w:hAnsi="Times New Roman" w:eastAsia="Calibri" w:cs="Times New Roman"/>
                <w:b/>
                <w:bCs/>
                <w:sz w:val="24"/>
                <w:szCs w:val="24"/>
                <w:u w:val="single"/>
                <w:lang w:eastAsia="lt-LT"/>
              </w:rPr>
            </w:pPr>
            <w:r>
              <w:rPr>
                <w:rFonts w:ascii="Times New Roman" w:hAnsi="Times New Roman" w:eastAsia="Calibri" w:cs="Times New Roman"/>
                <w:b/>
                <w:bCs/>
                <w:sz w:val="24"/>
                <w:szCs w:val="24"/>
                <w:u w:val="single"/>
                <w:lang w:eastAsia="lt-LT"/>
              </w:rPr>
              <w:t>6.5. Mokinių ugdymosi poreikiams tenkinti skirtos edukacinės, ugdomosios veiklos</w:t>
            </w:r>
          </w:p>
        </w:tc>
      </w:tr>
      <w:tr w14:paraId="2368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614C3381">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6.5.1. edukacinių renginių, konkursų, olimpiadų, išvykų organizavimas ir dalyvavimas juose</w:t>
            </w:r>
          </w:p>
        </w:tc>
        <w:tc>
          <w:tcPr>
            <w:tcW w:w="4649" w:type="dxa"/>
            <w:shd w:val="clear" w:color="auto" w:fill="auto"/>
          </w:tcPr>
          <w:p w14:paraId="4360D420">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Rajono, šalies mastu renginių organizavimas mokykloje</w:t>
            </w:r>
          </w:p>
          <w:p w14:paraId="74B6978E">
            <w:pPr>
              <w:spacing w:after="0" w:line="240" w:lineRule="auto"/>
              <w:jc w:val="left"/>
              <w:rPr>
                <w:rFonts w:ascii="Times New Roman" w:hAnsi="Times New Roman" w:eastAsia="Calibri" w:cs="Times New Roman"/>
                <w:sz w:val="24"/>
                <w:szCs w:val="24"/>
                <w:lang w:eastAsia="lt-LT"/>
              </w:rPr>
            </w:pPr>
          </w:p>
        </w:tc>
        <w:tc>
          <w:tcPr>
            <w:tcW w:w="1559" w:type="dxa"/>
            <w:shd w:val="clear" w:color="auto" w:fill="auto"/>
          </w:tcPr>
          <w:p w14:paraId="1BE10AD0">
            <w:pPr>
              <w:spacing w:after="0" w:line="240" w:lineRule="auto"/>
              <w:jc w:val="left"/>
              <w:rPr>
                <w:rFonts w:ascii="Times New Roman" w:hAnsi="Times New Roman" w:eastAsia="Calibri" w:cs="Times New Roman"/>
                <w:sz w:val="24"/>
                <w:szCs w:val="24"/>
                <w:lang w:val="fr-FR" w:eastAsia="lt-LT"/>
              </w:rPr>
            </w:pPr>
            <w:r>
              <w:rPr>
                <w:rFonts w:ascii="Times New Roman" w:hAnsi="Times New Roman" w:eastAsia="Calibri" w:cs="Times New Roman"/>
                <w:sz w:val="24"/>
                <w:szCs w:val="24"/>
                <w:lang w:eastAsia="lt-LT"/>
              </w:rPr>
              <w:t>Individualiai</w:t>
            </w:r>
          </w:p>
        </w:tc>
      </w:tr>
      <w:tr w14:paraId="36DB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3681" w:type="dxa"/>
            <w:shd w:val="clear" w:color="auto" w:fill="auto"/>
          </w:tcPr>
          <w:p w14:paraId="7EFC8255">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 xml:space="preserve">6.5.2. </w:t>
            </w:r>
            <w:r>
              <w:rPr>
                <w:rFonts w:ascii="Times New Roman" w:hAnsi="Times New Roman" w:cs="Times New Roman"/>
                <w:color w:val="000000" w:themeColor="text1"/>
                <w:sz w:val="24"/>
                <w:szCs w:val="24"/>
                <w14:textFill>
                  <w14:solidFill>
                    <w14:schemeClr w14:val="tx1"/>
                  </w14:solidFill>
                </w14:textFill>
              </w:rPr>
              <w:t>olimpiadų, konkursinių užduočių rengimas ir mokinių darbų vertinimas;</w:t>
            </w:r>
          </w:p>
        </w:tc>
        <w:tc>
          <w:tcPr>
            <w:tcW w:w="4649" w:type="dxa"/>
            <w:shd w:val="clear" w:color="auto" w:fill="auto"/>
          </w:tcPr>
          <w:p w14:paraId="3820E28D">
            <w:pPr>
              <w:spacing w:after="0" w:line="240" w:lineRule="auto"/>
              <w:rPr>
                <w:rFonts w:ascii="Times New Roman" w:hAnsi="Times New Roman" w:cs="Times New Roman"/>
                <w:sz w:val="24"/>
                <w:szCs w:val="24"/>
              </w:rPr>
            </w:pPr>
            <w:r>
              <w:rPr>
                <w:rFonts w:ascii="Times New Roman" w:hAnsi="Times New Roman" w:cs="Times New Roman"/>
                <w:sz w:val="24"/>
                <w:szCs w:val="24"/>
              </w:rPr>
              <w:t>Rajono, šalies olimpiadų, konkursų užduočių rengimas ir mokinių darbų vertinimas</w:t>
            </w:r>
          </w:p>
          <w:p w14:paraId="78719730">
            <w:pPr>
              <w:spacing w:after="0" w:line="240" w:lineRule="auto"/>
              <w:jc w:val="left"/>
              <w:rPr>
                <w:rFonts w:ascii="Times New Roman" w:hAnsi="Times New Roman" w:eastAsia="Calibri" w:cs="Times New Roman"/>
                <w:sz w:val="24"/>
                <w:szCs w:val="24"/>
                <w:lang w:eastAsia="lt-LT"/>
              </w:rPr>
            </w:pPr>
            <w:r>
              <w:rPr>
                <w:rFonts w:ascii="Times New Roman" w:hAnsi="Times New Roman" w:cs="Times New Roman"/>
                <w:sz w:val="24"/>
                <w:szCs w:val="24"/>
              </w:rPr>
              <w:t>Olimpiadų, konkursų, patvirtintų</w:t>
            </w:r>
            <w:r>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14:textFill>
                  <w14:solidFill>
                    <w14:schemeClr w14:val="tx1"/>
                  </w14:solidFill>
                </w14:textFill>
              </w:rPr>
              <w:t xml:space="preserve">LR Švietimo, mokslo ir sporto ministerijos bei Trakų miesto savivaldybės administracijos Švietimo skyriaus įsakymais </w:t>
            </w:r>
          </w:p>
        </w:tc>
        <w:tc>
          <w:tcPr>
            <w:tcW w:w="1559" w:type="dxa"/>
            <w:shd w:val="clear" w:color="auto" w:fill="auto"/>
          </w:tcPr>
          <w:p w14:paraId="38C20958">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2 − 20 val.</w:t>
            </w:r>
          </w:p>
          <w:p w14:paraId="06ED4705">
            <w:pPr>
              <w:spacing w:after="0" w:line="240" w:lineRule="auto"/>
              <w:jc w:val="left"/>
              <w:rPr>
                <w:rFonts w:ascii="Times New Roman" w:hAnsi="Times New Roman" w:eastAsia="Calibri" w:cs="Times New Roman"/>
                <w:sz w:val="24"/>
                <w:szCs w:val="24"/>
                <w:lang w:eastAsia="lt-LT"/>
              </w:rPr>
            </w:pPr>
          </w:p>
          <w:p w14:paraId="57CA3A52">
            <w:pPr>
              <w:spacing w:after="0" w:line="240" w:lineRule="auto"/>
              <w:jc w:val="left"/>
              <w:rPr>
                <w:rFonts w:ascii="Times New Roman" w:hAnsi="Times New Roman" w:eastAsia="Calibri" w:cs="Times New Roman"/>
                <w:sz w:val="24"/>
                <w:szCs w:val="24"/>
                <w:lang w:eastAsia="lt-LT"/>
              </w:rPr>
            </w:pPr>
          </w:p>
          <w:p w14:paraId="042C3BC7">
            <w:pPr>
              <w:spacing w:after="0" w:line="240" w:lineRule="auto"/>
              <w:jc w:val="left"/>
              <w:rPr>
                <w:rFonts w:ascii="Times New Roman" w:hAnsi="Times New Roman" w:eastAsia="Calibri" w:cs="Times New Roman"/>
                <w:sz w:val="24"/>
                <w:szCs w:val="24"/>
                <w:lang w:eastAsia="lt-LT"/>
              </w:rPr>
            </w:pPr>
          </w:p>
          <w:p w14:paraId="2FFDE88F">
            <w:pPr>
              <w:spacing w:after="0" w:line="240" w:lineRule="auto"/>
              <w:jc w:val="left"/>
              <w:rPr>
                <w:rFonts w:ascii="Times New Roman" w:hAnsi="Times New Roman" w:eastAsia="Calibri" w:cs="Times New Roman"/>
                <w:sz w:val="24"/>
                <w:szCs w:val="24"/>
                <w:lang w:eastAsia="lt-LT"/>
              </w:rPr>
            </w:pPr>
          </w:p>
          <w:p w14:paraId="0E24DA66">
            <w:pPr>
              <w:spacing w:after="0" w:line="240" w:lineRule="auto"/>
              <w:jc w:val="left"/>
              <w:rPr>
                <w:rFonts w:ascii="Times New Roman" w:hAnsi="Times New Roman" w:eastAsia="Calibri" w:cs="Times New Roman"/>
                <w:sz w:val="24"/>
                <w:szCs w:val="24"/>
                <w:lang w:val="en-GB" w:eastAsia="lt-LT"/>
              </w:rPr>
            </w:pPr>
          </w:p>
        </w:tc>
      </w:tr>
      <w:tr w14:paraId="06BA7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1501A1A3">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 xml:space="preserve">6.5.3. </w:t>
            </w:r>
            <w:r>
              <w:rPr>
                <w:rFonts w:ascii="Times New Roman" w:hAnsi="Times New Roman" w:cs="Times New Roman"/>
                <w:color w:val="000000" w:themeColor="text1"/>
                <w:sz w:val="24"/>
                <w:szCs w:val="24"/>
                <w14:textFill>
                  <w14:solidFill>
                    <w14:schemeClr w14:val="tx1"/>
                  </w14:solidFill>
                </w14:textFill>
              </w:rPr>
              <w:t>mokinių konsultavimas jiems rengiantis olimpiadoms, konkursams, varžyboms ir pan.;</w:t>
            </w:r>
          </w:p>
        </w:tc>
        <w:tc>
          <w:tcPr>
            <w:tcW w:w="4649" w:type="dxa"/>
            <w:shd w:val="clear" w:color="auto" w:fill="auto"/>
          </w:tcPr>
          <w:p w14:paraId="7AA2A64E">
            <w:pPr>
              <w:pStyle w:val="32"/>
              <w:spacing w:after="0" w:line="240" w:lineRule="auto"/>
              <w:ind w:left="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Konsultavimas (jei neturi neformaliojo švietimo būrelio arba tam skirtų konsultacijų)</w:t>
            </w:r>
          </w:p>
          <w:p w14:paraId="4CD2F21A">
            <w:pPr>
              <w:pStyle w:val="32"/>
              <w:spacing w:after="0" w:line="240" w:lineRule="auto"/>
              <w:ind w:left="0"/>
              <w:rPr>
                <w:rFonts w:ascii="Times New Roman" w:hAnsi="Times New Roman" w:cs="Times New Roman"/>
                <w:color w:val="000000" w:themeColor="text1"/>
                <w:sz w:val="24"/>
                <w:szCs w:val="24"/>
                <w14:textFill>
                  <w14:solidFill>
                    <w14:schemeClr w14:val="tx1"/>
                  </w14:solidFill>
                </w14:textFill>
              </w:rPr>
            </w:pPr>
          </w:p>
        </w:tc>
        <w:tc>
          <w:tcPr>
            <w:tcW w:w="1559" w:type="dxa"/>
            <w:shd w:val="clear" w:color="auto" w:fill="auto"/>
          </w:tcPr>
          <w:p w14:paraId="539E9B59">
            <w:pPr>
              <w:spacing w:after="0" w:line="240" w:lineRule="auto"/>
              <w:rPr>
                <w:rFonts w:ascii="Times New Roman" w:hAnsi="Times New Roman" w:eastAsia="Calibri" w:cs="Times New Roman"/>
                <w:sz w:val="24"/>
                <w:szCs w:val="24"/>
                <w:lang w:val="en-GB" w:eastAsia="lt-LT"/>
              </w:rPr>
            </w:pPr>
            <w:r>
              <w:rPr>
                <w:rFonts w:ascii="Times New Roman" w:hAnsi="Times New Roman" w:eastAsia="Calibri" w:cs="Times New Roman"/>
                <w:sz w:val="24"/>
                <w:szCs w:val="24"/>
                <w:lang w:val="en-GB" w:eastAsia="lt-LT"/>
              </w:rPr>
              <w:t>15 val.</w:t>
            </w:r>
          </w:p>
        </w:tc>
      </w:tr>
      <w:tr w14:paraId="49E1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3BB06C87">
            <w:pPr>
              <w:spacing w:line="240" w:lineRule="auto"/>
              <w:rPr>
                <w:rFonts w:ascii="Times New Roman" w:hAnsi="Times New Roman" w:cs="Times New Roman"/>
                <w:sz w:val="24"/>
                <w:szCs w:val="24"/>
              </w:rPr>
            </w:pPr>
            <w:r>
              <w:rPr>
                <w:rFonts w:ascii="Times New Roman" w:hAnsi="Times New Roman" w:cs="Times New Roman"/>
                <w:color w:val="000000" w:themeColor="text1"/>
                <w:sz w:val="24"/>
                <w:szCs w:val="24"/>
                <w14:textFill>
                  <w14:solidFill>
                    <w14:schemeClr w14:val="tx1"/>
                  </w14:solidFill>
                </w14:textFill>
              </w:rPr>
              <w:t>6.5.4. mokinių ugdymo karjerai veiklų vykdymas;</w:t>
            </w:r>
          </w:p>
        </w:tc>
        <w:tc>
          <w:tcPr>
            <w:tcW w:w="4649" w:type="dxa"/>
            <w:shd w:val="clear" w:color="auto" w:fill="auto"/>
          </w:tcPr>
          <w:p w14:paraId="7A404C4F">
            <w:pPr>
              <w:pStyle w:val="32"/>
              <w:spacing w:after="0" w:line="240" w:lineRule="auto"/>
              <w:ind w:left="0"/>
              <w:rPr>
                <w:rFonts w:ascii="Times New Roman" w:hAnsi="Times New Roman" w:cs="Times New Roman"/>
                <w:sz w:val="24"/>
                <w:szCs w:val="24"/>
              </w:rPr>
            </w:pPr>
            <w:r>
              <w:rPr>
                <w:rFonts w:ascii="Times New Roman" w:hAnsi="Times New Roman" w:cs="Times New Roman"/>
                <w:sz w:val="24"/>
                <w:szCs w:val="24"/>
              </w:rPr>
              <w:t>Renginių organizavimas su tam tikros profesijos atstovais</w:t>
            </w:r>
          </w:p>
        </w:tc>
        <w:tc>
          <w:tcPr>
            <w:tcW w:w="1559" w:type="dxa"/>
            <w:shd w:val="clear" w:color="auto" w:fill="auto"/>
          </w:tcPr>
          <w:p w14:paraId="0FBC67AA">
            <w:pPr>
              <w:spacing w:after="0" w:line="240" w:lineRule="auto"/>
              <w:jc w:val="left"/>
              <w:rPr>
                <w:rFonts w:ascii="Times New Roman" w:hAnsi="Times New Roman" w:cs="Times New Roman"/>
              </w:rPr>
            </w:pPr>
            <w:r>
              <w:rPr>
                <w:rFonts w:ascii="Times New Roman" w:hAnsi="Times New Roman" w:cs="Times New Roman"/>
                <w:sz w:val="24"/>
                <w:szCs w:val="24"/>
              </w:rPr>
              <w:t>5-10 val.</w:t>
            </w:r>
          </w:p>
        </w:tc>
      </w:tr>
      <w:tr w14:paraId="30FE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9889" w:type="dxa"/>
            <w:gridSpan w:val="3"/>
            <w:shd w:val="clear" w:color="auto" w:fill="auto"/>
          </w:tcPr>
          <w:p w14:paraId="2C3965B0">
            <w:pPr>
              <w:spacing w:after="0" w:line="240" w:lineRule="auto"/>
              <w:jc w:val="center"/>
              <w:rPr>
                <w:rFonts w:ascii="Times New Roman" w:hAnsi="Times New Roman" w:eastAsia="Calibri" w:cs="Times New Roman"/>
                <w:b/>
                <w:sz w:val="24"/>
                <w:szCs w:val="24"/>
                <w:u w:val="single"/>
                <w:lang w:eastAsia="lt-LT"/>
              </w:rPr>
            </w:pPr>
            <w:r>
              <w:rPr>
                <w:rFonts w:ascii="Times New Roman" w:hAnsi="Times New Roman" w:eastAsia="Calibri" w:cs="Times New Roman"/>
                <w:b/>
                <w:sz w:val="24"/>
                <w:szCs w:val="24"/>
                <w:u w:val="single"/>
                <w:lang w:eastAsia="lt-LT"/>
              </w:rPr>
              <w:t>6.6 Kita</w:t>
            </w:r>
          </w:p>
        </w:tc>
      </w:tr>
      <w:tr w14:paraId="2DEE7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 w:hRule="atLeast"/>
        </w:trPr>
        <w:tc>
          <w:tcPr>
            <w:tcW w:w="3681" w:type="dxa"/>
            <w:shd w:val="clear" w:color="auto" w:fill="auto"/>
          </w:tcPr>
          <w:p w14:paraId="71B92383">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6.6. Bendradarbiavimo su mokyklos partneriais veiklos, apimančios bendrų projektų, renginių organizavimą ir jų įgyvendinimą mokykloje ar už jos ribų.</w:t>
            </w:r>
          </w:p>
        </w:tc>
        <w:tc>
          <w:tcPr>
            <w:tcW w:w="4649" w:type="dxa"/>
            <w:shd w:val="clear" w:color="auto" w:fill="auto"/>
          </w:tcPr>
          <w:p w14:paraId="66945D96">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bCs/>
                <w:sz w:val="24"/>
                <w:szCs w:val="24"/>
                <w:lang w:eastAsia="lt-LT"/>
              </w:rPr>
              <w:t xml:space="preserve">Bendradarbiavimas su mokyklos partneriais </w:t>
            </w:r>
          </w:p>
        </w:tc>
        <w:tc>
          <w:tcPr>
            <w:tcW w:w="1559" w:type="dxa"/>
            <w:shd w:val="clear" w:color="auto" w:fill="auto"/>
          </w:tcPr>
          <w:p w14:paraId="64D72D37">
            <w:pPr>
              <w:spacing w:after="0" w:line="240" w:lineRule="auto"/>
              <w:jc w:val="left"/>
              <w:rPr>
                <w:rFonts w:ascii="Times New Roman" w:hAnsi="Times New Roman" w:eastAsia="Calibri" w:cs="Times New Roman"/>
                <w:sz w:val="24"/>
                <w:szCs w:val="24"/>
                <w:lang w:eastAsia="lt-LT"/>
              </w:rPr>
            </w:pPr>
            <w:r>
              <w:rPr>
                <w:rFonts w:ascii="Times New Roman" w:hAnsi="Times New Roman" w:eastAsia="Calibri" w:cs="Times New Roman"/>
                <w:sz w:val="24"/>
                <w:szCs w:val="24"/>
                <w:lang w:eastAsia="lt-LT"/>
              </w:rPr>
              <w:t>5 - 15</w:t>
            </w:r>
          </w:p>
        </w:tc>
      </w:tr>
      <w:tr w14:paraId="2B81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8330" w:type="dxa"/>
            <w:gridSpan w:val="2"/>
            <w:shd w:val="clear" w:color="auto" w:fill="auto"/>
          </w:tcPr>
          <w:p w14:paraId="418CA13F">
            <w:pPr>
              <w:spacing w:after="0" w:line="240" w:lineRule="auto"/>
              <w:jc w:val="center"/>
              <w:rPr>
                <w:rFonts w:ascii="Times New Roman" w:hAnsi="Times New Roman" w:eastAsia="Calibri" w:cs="Times New Roman"/>
                <w:b/>
                <w:sz w:val="24"/>
                <w:szCs w:val="24"/>
                <w:lang w:eastAsia="lt-LT"/>
              </w:rPr>
            </w:pPr>
            <w:r>
              <w:rPr>
                <w:rFonts w:ascii="Times New Roman" w:hAnsi="Times New Roman" w:eastAsia="Calibri" w:cs="Times New Roman"/>
                <w:b/>
                <w:bCs/>
                <w:sz w:val="24"/>
                <w:szCs w:val="24"/>
                <w:lang w:eastAsia="lt-LT"/>
              </w:rPr>
              <w:t>IŠ VISO:</w:t>
            </w:r>
          </w:p>
        </w:tc>
        <w:tc>
          <w:tcPr>
            <w:tcW w:w="1559" w:type="dxa"/>
            <w:shd w:val="clear" w:color="auto" w:fill="auto"/>
          </w:tcPr>
          <w:p w14:paraId="4B12CE52">
            <w:pPr>
              <w:spacing w:after="0" w:line="240" w:lineRule="auto"/>
              <w:jc w:val="left"/>
              <w:rPr>
                <w:rFonts w:ascii="Times New Roman" w:hAnsi="Times New Roman" w:eastAsia="Calibri" w:cs="Times New Roman"/>
                <w:b/>
                <w:sz w:val="24"/>
                <w:szCs w:val="24"/>
                <w:lang w:val="en-GB" w:eastAsia="lt-LT"/>
              </w:rPr>
            </w:pPr>
            <w:r>
              <w:rPr>
                <w:rFonts w:ascii="Times New Roman" w:hAnsi="Times New Roman" w:eastAsia="Calibri" w:cs="Times New Roman"/>
                <w:b/>
                <w:sz w:val="24"/>
                <w:szCs w:val="24"/>
                <w:lang w:eastAsia="lt-LT"/>
              </w:rPr>
              <w:t xml:space="preserve">iki </w:t>
            </w:r>
            <w:r>
              <w:rPr>
                <w:rFonts w:ascii="Times New Roman" w:hAnsi="Times New Roman" w:eastAsia="Calibri" w:cs="Times New Roman"/>
                <w:b/>
                <w:sz w:val="24"/>
                <w:szCs w:val="24"/>
                <w:lang w:val="en-GB" w:eastAsia="lt-LT"/>
              </w:rPr>
              <w:t xml:space="preserve">400 val.  </w:t>
            </w:r>
          </w:p>
        </w:tc>
      </w:tr>
    </w:tbl>
    <w:p w14:paraId="3302164B">
      <w:pPr>
        <w:spacing w:after="0" w:line="240" w:lineRule="auto"/>
        <w:jc w:val="left"/>
        <w:rPr>
          <w:rFonts w:ascii="Times New Roman" w:hAnsi="Times New Roman" w:cs="Times New Roman"/>
          <w:lang w:eastAsia="lt-LT"/>
        </w:rPr>
      </w:pPr>
    </w:p>
    <w:p w14:paraId="42C5C071">
      <w:pPr>
        <w:spacing w:after="0" w:line="240" w:lineRule="auto"/>
        <w:jc w:val="left"/>
        <w:rPr>
          <w:rFonts w:ascii="Times New Roman" w:hAnsi="Times New Roman" w:cs="Times New Roman"/>
          <w:lang w:eastAsia="lt-LT"/>
        </w:rPr>
      </w:pPr>
      <w:r>
        <w:rPr>
          <w:rFonts w:ascii="Times New Roman" w:hAnsi="Times New Roman" w:cs="Times New Roman"/>
          <w:lang w:eastAsia="lt-LT"/>
        </w:rPr>
        <w:tab/>
      </w:r>
      <w:r>
        <w:rPr>
          <w:rFonts w:ascii="Times New Roman" w:hAnsi="Times New Roman" w:cs="Times New Roman"/>
          <w:lang w:eastAsia="lt-LT"/>
        </w:rPr>
        <w:tab/>
      </w:r>
      <w:r>
        <w:rPr>
          <w:rFonts w:ascii="Times New Roman" w:hAnsi="Times New Roman" w:cs="Times New Roman"/>
          <w:lang w:eastAsia="lt-LT"/>
        </w:rPr>
        <w:tab/>
      </w:r>
      <w:r>
        <w:rPr>
          <w:rFonts w:ascii="Times New Roman" w:hAnsi="Times New Roman" w:cs="Times New Roman"/>
          <w:lang w:eastAsia="lt-LT"/>
        </w:rPr>
        <w:tab/>
      </w:r>
      <w:r>
        <w:rPr>
          <w:rFonts w:ascii="Times New Roman" w:hAnsi="Times New Roman" w:cs="Times New Roman"/>
          <w:lang w:eastAsia="lt-LT"/>
        </w:rPr>
        <w:t>______________________________________</w:t>
      </w:r>
    </w:p>
    <w:p w14:paraId="1EA89A43">
      <w:pPr>
        <w:spacing w:after="0" w:line="240" w:lineRule="auto"/>
        <w:jc w:val="left"/>
        <w:rPr>
          <w:rFonts w:ascii="Times New Roman" w:hAnsi="Times New Roman" w:cs="Times New Roman"/>
          <w:lang w:eastAsia="lt-LT"/>
        </w:rPr>
      </w:pPr>
      <w:r>
        <w:rPr>
          <w:rFonts w:ascii="Times New Roman" w:hAnsi="Times New Roman" w:cs="Times New Roman"/>
          <w:lang w:eastAsia="lt-LT"/>
        </w:rPr>
        <w:tab/>
      </w:r>
      <w:r>
        <w:rPr>
          <w:rFonts w:ascii="Times New Roman" w:hAnsi="Times New Roman" w:cs="Times New Roman"/>
          <w:lang w:eastAsia="lt-LT"/>
        </w:rPr>
        <w:tab/>
      </w:r>
      <w:r>
        <w:rPr>
          <w:rFonts w:ascii="Times New Roman" w:hAnsi="Times New Roman" w:cs="Times New Roman"/>
          <w:lang w:eastAsia="lt-LT"/>
        </w:rPr>
        <w:tab/>
      </w:r>
      <w:r>
        <w:rPr>
          <w:rFonts w:ascii="Times New Roman" w:hAnsi="Times New Roman" w:cs="Times New Roman"/>
          <w:lang w:eastAsia="lt-LT"/>
        </w:rPr>
        <w:tab/>
      </w:r>
      <w:r>
        <w:rPr>
          <w:rFonts w:ascii="Times New Roman" w:hAnsi="Times New Roman" w:cs="Times New Roman"/>
          <w:lang w:eastAsia="lt-LT"/>
        </w:rPr>
        <w:tab/>
      </w:r>
      <w:r>
        <w:rPr>
          <w:rFonts w:ascii="Times New Roman" w:hAnsi="Times New Roman" w:cs="Times New Roman"/>
          <w:lang w:eastAsia="lt-LT"/>
        </w:rPr>
        <w:t>(Vardas, pavardė, parašas)</w:t>
      </w:r>
    </w:p>
    <w:p w14:paraId="721E0413">
      <w:pPr>
        <w:spacing w:after="0" w:line="240" w:lineRule="auto"/>
        <w:jc w:val="left"/>
        <w:rPr>
          <w:rFonts w:ascii="Times New Roman" w:hAnsi="Times New Roman" w:cs="Times New Roman"/>
          <w:lang w:eastAsia="lt-LT"/>
        </w:rPr>
      </w:pPr>
    </w:p>
    <w:p w14:paraId="1677EC7E">
      <w:pPr>
        <w:spacing w:after="0" w:line="240" w:lineRule="auto"/>
        <w:jc w:val="center"/>
        <w:rPr>
          <w:rFonts w:ascii="Times New Roman" w:hAnsi="Times New Roman" w:cs="Times New Roman"/>
          <w:b/>
          <w:bCs/>
          <w:sz w:val="24"/>
          <w:szCs w:val="24"/>
          <w:lang w:eastAsia="lt-LT"/>
        </w:rPr>
      </w:pPr>
      <w:r>
        <w:rPr>
          <w:rFonts w:ascii="Times New Roman" w:hAnsi="Times New Roman" w:cs="Times New Roman"/>
          <w:sz w:val="24"/>
          <w:szCs w:val="24"/>
          <w:lang w:eastAsia="lt-LT"/>
        </w:rPr>
        <w:t>_____________________</w:t>
      </w:r>
    </w:p>
    <w:p w14:paraId="11B85347">
      <w:pPr>
        <w:spacing w:after="0" w:line="240" w:lineRule="auto"/>
        <w:ind w:left="5387"/>
        <w:jc w:val="right"/>
        <w:rPr>
          <w:rFonts w:ascii="Times New Roman" w:hAnsi="Times New Roman" w:cs="Times New Roman"/>
          <w:bCs/>
          <w:sz w:val="24"/>
          <w:szCs w:val="24"/>
          <w:lang w:eastAsia="lt-LT"/>
        </w:rPr>
      </w:pPr>
    </w:p>
    <w:p w14:paraId="675F726E">
      <w:pPr>
        <w:spacing w:after="0" w:line="240" w:lineRule="auto"/>
        <w:ind w:left="5387"/>
        <w:jc w:val="right"/>
        <w:rPr>
          <w:rFonts w:ascii="Times New Roman" w:hAnsi="Times New Roman" w:cs="Times New Roman"/>
          <w:bCs/>
          <w:sz w:val="24"/>
          <w:szCs w:val="24"/>
          <w:lang w:eastAsia="lt-LT"/>
        </w:rPr>
      </w:pPr>
    </w:p>
    <w:p w14:paraId="7033392E">
      <w:pPr>
        <w:spacing w:after="0" w:line="240" w:lineRule="auto"/>
        <w:ind w:left="5387"/>
        <w:jc w:val="right"/>
        <w:rPr>
          <w:rFonts w:ascii="Times New Roman" w:hAnsi="Times New Roman" w:cs="Times New Roman"/>
          <w:bCs/>
          <w:sz w:val="24"/>
          <w:szCs w:val="24"/>
          <w:lang w:eastAsia="lt-LT"/>
        </w:rPr>
      </w:pPr>
    </w:p>
    <w:p w14:paraId="4714B2BC">
      <w:pPr>
        <w:spacing w:after="0" w:line="240" w:lineRule="auto"/>
        <w:ind w:left="5387"/>
        <w:jc w:val="right"/>
        <w:rPr>
          <w:rFonts w:ascii="Times New Roman" w:hAnsi="Times New Roman" w:cs="Times New Roman"/>
          <w:bCs/>
          <w:sz w:val="24"/>
          <w:szCs w:val="24"/>
          <w:lang w:eastAsia="lt-LT"/>
        </w:rPr>
      </w:pPr>
    </w:p>
    <w:p w14:paraId="4D051251">
      <w:pPr>
        <w:spacing w:after="0" w:line="240" w:lineRule="auto"/>
        <w:rPr>
          <w:rFonts w:ascii="Times New Roman" w:hAnsi="Times New Roman" w:cs="Times New Roman"/>
          <w:bCs/>
          <w:sz w:val="24"/>
          <w:szCs w:val="24"/>
          <w:lang w:eastAsia="lt-LT"/>
        </w:rPr>
      </w:pPr>
    </w:p>
    <w:sectPr>
      <w:headerReference r:id="rId5" w:type="default"/>
      <w:pgSz w:w="12240" w:h="15840"/>
      <w:pgMar w:top="964" w:right="618" w:bottom="907" w:left="1701"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BA"/>
    <w:family w:val="swiss"/>
    <w:pitch w:val="default"/>
    <w:sig w:usb0="E4002EFF" w:usb1="C200247B" w:usb2="00000009" w:usb3="00000000" w:csb0="200001FF" w:csb1="00000000"/>
  </w:font>
  <w:font w:name="Calibri Light">
    <w:panose1 w:val="020F0302020204030204"/>
    <w:charset w:val="BA"/>
    <w:family w:val="swiss"/>
    <w:pitch w:val="default"/>
    <w:sig w:usb0="E4002EFF" w:usb1="C200247B" w:usb2="00000009" w:usb3="00000000" w:csb0="200001FF" w:csb1="00000000"/>
  </w:font>
  <w:font w:name="Segoe UI">
    <w:panose1 w:val="020B0502040204020203"/>
    <w:charset w:val="BA"/>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1411616"/>
      <w:docPartObj>
        <w:docPartGallery w:val="AutoText"/>
      </w:docPartObj>
    </w:sdtPr>
    <w:sdtEndPr>
      <w:rPr>
        <w:rFonts w:ascii="Times New Roman" w:hAnsi="Times New Roman" w:cs="Times New Roman"/>
      </w:rPr>
    </w:sdtEndPr>
    <w:sdtContent>
      <w:p w14:paraId="37F5300E">
        <w:pPr>
          <w:pStyle w:val="1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304C27"/>
    <w:multiLevelType w:val="multilevel"/>
    <w:tmpl w:val="38304C27"/>
    <w:lvl w:ilvl="0" w:tentative="0">
      <w:start w:val="1"/>
      <w:numFmt w:val="decimal"/>
      <w:suff w:val="space"/>
      <w:lvlText w:val="%1."/>
      <w:lvlJc w:val="left"/>
      <w:pPr>
        <w:ind w:firstLine="851"/>
      </w:pPr>
      <w:rPr>
        <w:rFonts w:hint="default"/>
        <w:b w:val="0"/>
        <w:bCs w:val="0"/>
        <w:strike w:val="0"/>
        <w:color w:val="000000" w:themeColor="text1"/>
        <w14:textFill>
          <w14:solidFill>
            <w14:schemeClr w14:val="tx1"/>
          </w14:solidFill>
        </w14:textFill>
      </w:rPr>
    </w:lvl>
    <w:lvl w:ilvl="1" w:tentative="0">
      <w:start w:val="1"/>
      <w:numFmt w:val="decimal"/>
      <w:suff w:val="space"/>
      <w:lvlText w:val="%1.%2."/>
      <w:lvlJc w:val="left"/>
      <w:pPr>
        <w:ind w:firstLine="851"/>
      </w:pPr>
      <w:rPr>
        <w:rFonts w:hint="default" w:ascii="Times New Roman" w:hAnsi="Times New Roman" w:cs="Times New Roman"/>
        <w:strike w:val="0"/>
        <w:color w:val="000000" w:themeColor="text1"/>
        <w14:textFill>
          <w14:solidFill>
            <w14:schemeClr w14:val="tx1"/>
          </w14:solidFill>
        </w14:textFill>
      </w:rPr>
    </w:lvl>
    <w:lvl w:ilvl="2" w:tentative="0">
      <w:start w:val="1"/>
      <w:numFmt w:val="decimal"/>
      <w:suff w:val="space"/>
      <w:lvlText w:val="%1.%2.%3."/>
      <w:lvlJc w:val="left"/>
      <w:pPr>
        <w:ind w:firstLine="851"/>
      </w:pPr>
      <w:rPr>
        <w:rFonts w:hint="default"/>
        <w:strike w:val="0"/>
        <w:color w:val="000000" w:themeColor="text1"/>
        <w14:textFill>
          <w14:solidFill>
            <w14:schemeClr w14:val="tx1"/>
          </w14:solidFill>
        </w14:textFill>
      </w:rPr>
    </w:lvl>
    <w:lvl w:ilvl="3" w:tentative="0">
      <w:start w:val="1"/>
      <w:numFmt w:val="decimal"/>
      <w:suff w:val="space"/>
      <w:lvlText w:val="%1.%2.%3.%4."/>
      <w:lvlJc w:val="left"/>
      <w:pPr>
        <w:ind w:firstLine="851"/>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abstractNum w:abstractNumId="1">
    <w:nsid w:val="64251A43"/>
    <w:multiLevelType w:val="multilevel"/>
    <w:tmpl w:val="64251A4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documentProtection w:enforcement="0"/>
  <w:defaultTabStop w:val="1296"/>
  <w:hyphenationZone w:val="396"/>
  <w:doNotHyphenateCaps/>
  <w:characterSpacingControl w:val="doNotCompress"/>
  <w:doNotValidateAgainstSchema/>
  <w:doNotDemarcateInvalidXml/>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A26"/>
    <w:rsid w:val="00001B2F"/>
    <w:rsid w:val="0001495E"/>
    <w:rsid w:val="00020A8F"/>
    <w:rsid w:val="0002166C"/>
    <w:rsid w:val="00023BBA"/>
    <w:rsid w:val="00035E53"/>
    <w:rsid w:val="00036299"/>
    <w:rsid w:val="0003703B"/>
    <w:rsid w:val="0003709A"/>
    <w:rsid w:val="00047E76"/>
    <w:rsid w:val="000538DA"/>
    <w:rsid w:val="00061E6C"/>
    <w:rsid w:val="00066B24"/>
    <w:rsid w:val="00072233"/>
    <w:rsid w:val="000778A6"/>
    <w:rsid w:val="00081F56"/>
    <w:rsid w:val="000827C6"/>
    <w:rsid w:val="00083103"/>
    <w:rsid w:val="00086BA8"/>
    <w:rsid w:val="00092D3B"/>
    <w:rsid w:val="00095415"/>
    <w:rsid w:val="00096DFD"/>
    <w:rsid w:val="00097320"/>
    <w:rsid w:val="000A5C59"/>
    <w:rsid w:val="000A5C7B"/>
    <w:rsid w:val="000B587B"/>
    <w:rsid w:val="000B6717"/>
    <w:rsid w:val="000B7C97"/>
    <w:rsid w:val="000C0780"/>
    <w:rsid w:val="000C4A95"/>
    <w:rsid w:val="000D143E"/>
    <w:rsid w:val="000D2713"/>
    <w:rsid w:val="000D3030"/>
    <w:rsid w:val="000D3936"/>
    <w:rsid w:val="000D43D8"/>
    <w:rsid w:val="000D568C"/>
    <w:rsid w:val="000D7751"/>
    <w:rsid w:val="000E04AE"/>
    <w:rsid w:val="000E3CD5"/>
    <w:rsid w:val="000E5D76"/>
    <w:rsid w:val="000F03DF"/>
    <w:rsid w:val="000F08E7"/>
    <w:rsid w:val="000F455C"/>
    <w:rsid w:val="000F508F"/>
    <w:rsid w:val="00102C01"/>
    <w:rsid w:val="00104002"/>
    <w:rsid w:val="00107FD1"/>
    <w:rsid w:val="00111110"/>
    <w:rsid w:val="00112714"/>
    <w:rsid w:val="0011450B"/>
    <w:rsid w:val="00115269"/>
    <w:rsid w:val="001234A1"/>
    <w:rsid w:val="00123681"/>
    <w:rsid w:val="00126BFB"/>
    <w:rsid w:val="00131FF8"/>
    <w:rsid w:val="00132C45"/>
    <w:rsid w:val="0013489C"/>
    <w:rsid w:val="00134A26"/>
    <w:rsid w:val="00135CD8"/>
    <w:rsid w:val="0014195E"/>
    <w:rsid w:val="0014245F"/>
    <w:rsid w:val="00143B5C"/>
    <w:rsid w:val="00152916"/>
    <w:rsid w:val="00152B2D"/>
    <w:rsid w:val="00152CE8"/>
    <w:rsid w:val="001548CF"/>
    <w:rsid w:val="00155C24"/>
    <w:rsid w:val="00164342"/>
    <w:rsid w:val="00174CDB"/>
    <w:rsid w:val="0018129D"/>
    <w:rsid w:val="0018786D"/>
    <w:rsid w:val="0019340B"/>
    <w:rsid w:val="00194225"/>
    <w:rsid w:val="001A1008"/>
    <w:rsid w:val="001A13D9"/>
    <w:rsid w:val="001A1A15"/>
    <w:rsid w:val="001A3D3B"/>
    <w:rsid w:val="001A7E73"/>
    <w:rsid w:val="001B3859"/>
    <w:rsid w:val="001B6917"/>
    <w:rsid w:val="001C72BD"/>
    <w:rsid w:val="001D348B"/>
    <w:rsid w:val="001E03FC"/>
    <w:rsid w:val="001E5388"/>
    <w:rsid w:val="001F5032"/>
    <w:rsid w:val="001F61D9"/>
    <w:rsid w:val="001F72DB"/>
    <w:rsid w:val="00200912"/>
    <w:rsid w:val="002059F9"/>
    <w:rsid w:val="00207AFA"/>
    <w:rsid w:val="00210D68"/>
    <w:rsid w:val="00212171"/>
    <w:rsid w:val="00212E3B"/>
    <w:rsid w:val="0021626B"/>
    <w:rsid w:val="00220BAA"/>
    <w:rsid w:val="0022296A"/>
    <w:rsid w:val="002262B3"/>
    <w:rsid w:val="002262E2"/>
    <w:rsid w:val="00231DCD"/>
    <w:rsid w:val="00235523"/>
    <w:rsid w:val="002367EF"/>
    <w:rsid w:val="00237819"/>
    <w:rsid w:val="00240FFE"/>
    <w:rsid w:val="00246E88"/>
    <w:rsid w:val="002523CD"/>
    <w:rsid w:val="002524E7"/>
    <w:rsid w:val="002534E1"/>
    <w:rsid w:val="00256968"/>
    <w:rsid w:val="00257502"/>
    <w:rsid w:val="002612AA"/>
    <w:rsid w:val="00266363"/>
    <w:rsid w:val="00267582"/>
    <w:rsid w:val="002728A6"/>
    <w:rsid w:val="00275158"/>
    <w:rsid w:val="00282160"/>
    <w:rsid w:val="00283D75"/>
    <w:rsid w:val="002860C1"/>
    <w:rsid w:val="00295C72"/>
    <w:rsid w:val="002979DA"/>
    <w:rsid w:val="002A030F"/>
    <w:rsid w:val="002C0625"/>
    <w:rsid w:val="002C1320"/>
    <w:rsid w:val="002C4110"/>
    <w:rsid w:val="002D69ED"/>
    <w:rsid w:val="002E3D96"/>
    <w:rsid w:val="002E4BD4"/>
    <w:rsid w:val="002E5331"/>
    <w:rsid w:val="002E67B1"/>
    <w:rsid w:val="002F056C"/>
    <w:rsid w:val="002F3EEC"/>
    <w:rsid w:val="002F5894"/>
    <w:rsid w:val="00302780"/>
    <w:rsid w:val="00303AFF"/>
    <w:rsid w:val="00307BB7"/>
    <w:rsid w:val="003125EC"/>
    <w:rsid w:val="0031796A"/>
    <w:rsid w:val="0032186C"/>
    <w:rsid w:val="00324210"/>
    <w:rsid w:val="003276CE"/>
    <w:rsid w:val="003278C0"/>
    <w:rsid w:val="00333C6F"/>
    <w:rsid w:val="00334CE5"/>
    <w:rsid w:val="00334ED1"/>
    <w:rsid w:val="003365D5"/>
    <w:rsid w:val="00341CB4"/>
    <w:rsid w:val="00342516"/>
    <w:rsid w:val="003443AF"/>
    <w:rsid w:val="00353670"/>
    <w:rsid w:val="00353C40"/>
    <w:rsid w:val="00360A28"/>
    <w:rsid w:val="00363AF4"/>
    <w:rsid w:val="00363F2F"/>
    <w:rsid w:val="003678C8"/>
    <w:rsid w:val="003817A3"/>
    <w:rsid w:val="0038234A"/>
    <w:rsid w:val="0038402E"/>
    <w:rsid w:val="00386A55"/>
    <w:rsid w:val="00386D61"/>
    <w:rsid w:val="003912A1"/>
    <w:rsid w:val="003A6A93"/>
    <w:rsid w:val="003A7C14"/>
    <w:rsid w:val="003B5B09"/>
    <w:rsid w:val="003D233B"/>
    <w:rsid w:val="003D64FB"/>
    <w:rsid w:val="003E153B"/>
    <w:rsid w:val="003E7713"/>
    <w:rsid w:val="003F0F42"/>
    <w:rsid w:val="003F4841"/>
    <w:rsid w:val="003F5FA4"/>
    <w:rsid w:val="00413D86"/>
    <w:rsid w:val="0041739B"/>
    <w:rsid w:val="00423388"/>
    <w:rsid w:val="004305EA"/>
    <w:rsid w:val="004344FE"/>
    <w:rsid w:val="004356D1"/>
    <w:rsid w:val="00446744"/>
    <w:rsid w:val="004535F7"/>
    <w:rsid w:val="004544EC"/>
    <w:rsid w:val="00462BA5"/>
    <w:rsid w:val="00463777"/>
    <w:rsid w:val="00467AEA"/>
    <w:rsid w:val="00470FDD"/>
    <w:rsid w:val="00473690"/>
    <w:rsid w:val="00474400"/>
    <w:rsid w:val="00485CDF"/>
    <w:rsid w:val="00492142"/>
    <w:rsid w:val="004931B5"/>
    <w:rsid w:val="00495604"/>
    <w:rsid w:val="00497F60"/>
    <w:rsid w:val="004A06E4"/>
    <w:rsid w:val="004A3D95"/>
    <w:rsid w:val="004A5C4B"/>
    <w:rsid w:val="004B53BB"/>
    <w:rsid w:val="004B56B1"/>
    <w:rsid w:val="004B7463"/>
    <w:rsid w:val="004C17D2"/>
    <w:rsid w:val="004C3BE9"/>
    <w:rsid w:val="004D18E0"/>
    <w:rsid w:val="004D30CA"/>
    <w:rsid w:val="004E126B"/>
    <w:rsid w:val="004F14A5"/>
    <w:rsid w:val="004F27FF"/>
    <w:rsid w:val="004F361C"/>
    <w:rsid w:val="004F53A1"/>
    <w:rsid w:val="004F552B"/>
    <w:rsid w:val="00500E0A"/>
    <w:rsid w:val="00500E63"/>
    <w:rsid w:val="00501FDE"/>
    <w:rsid w:val="00502D80"/>
    <w:rsid w:val="0050316A"/>
    <w:rsid w:val="00503225"/>
    <w:rsid w:val="00511DF5"/>
    <w:rsid w:val="005200A1"/>
    <w:rsid w:val="00520CED"/>
    <w:rsid w:val="00520F3F"/>
    <w:rsid w:val="005231BF"/>
    <w:rsid w:val="00524335"/>
    <w:rsid w:val="00526CD4"/>
    <w:rsid w:val="0053552D"/>
    <w:rsid w:val="00540211"/>
    <w:rsid w:val="005403A0"/>
    <w:rsid w:val="005427E5"/>
    <w:rsid w:val="00544CF9"/>
    <w:rsid w:val="00544FB8"/>
    <w:rsid w:val="00546B02"/>
    <w:rsid w:val="005511E4"/>
    <w:rsid w:val="0055158B"/>
    <w:rsid w:val="00554828"/>
    <w:rsid w:val="00562BB0"/>
    <w:rsid w:val="0056335B"/>
    <w:rsid w:val="0056522B"/>
    <w:rsid w:val="00570936"/>
    <w:rsid w:val="005831C6"/>
    <w:rsid w:val="005916E4"/>
    <w:rsid w:val="00595610"/>
    <w:rsid w:val="005959C6"/>
    <w:rsid w:val="00595F9E"/>
    <w:rsid w:val="00597BA6"/>
    <w:rsid w:val="005A0119"/>
    <w:rsid w:val="005A2237"/>
    <w:rsid w:val="005B1222"/>
    <w:rsid w:val="005B236B"/>
    <w:rsid w:val="005B361F"/>
    <w:rsid w:val="005B4AB1"/>
    <w:rsid w:val="005B5DF8"/>
    <w:rsid w:val="005C1D3D"/>
    <w:rsid w:val="005C2C30"/>
    <w:rsid w:val="005C580F"/>
    <w:rsid w:val="005C767D"/>
    <w:rsid w:val="005D474F"/>
    <w:rsid w:val="005D4EF4"/>
    <w:rsid w:val="005D5AC9"/>
    <w:rsid w:val="005D5BED"/>
    <w:rsid w:val="005E3202"/>
    <w:rsid w:val="005E3B5D"/>
    <w:rsid w:val="005F0761"/>
    <w:rsid w:val="005F0FF5"/>
    <w:rsid w:val="005F49A7"/>
    <w:rsid w:val="00602826"/>
    <w:rsid w:val="00603EBE"/>
    <w:rsid w:val="00604D97"/>
    <w:rsid w:val="0060685D"/>
    <w:rsid w:val="006139F7"/>
    <w:rsid w:val="006160A5"/>
    <w:rsid w:val="006244DE"/>
    <w:rsid w:val="006258FC"/>
    <w:rsid w:val="006276F0"/>
    <w:rsid w:val="006303BA"/>
    <w:rsid w:val="00636BC0"/>
    <w:rsid w:val="006372CA"/>
    <w:rsid w:val="00640844"/>
    <w:rsid w:val="0064569D"/>
    <w:rsid w:val="006544CA"/>
    <w:rsid w:val="00656EDA"/>
    <w:rsid w:val="0066247D"/>
    <w:rsid w:val="00663003"/>
    <w:rsid w:val="006648E0"/>
    <w:rsid w:val="00671731"/>
    <w:rsid w:val="00673AE1"/>
    <w:rsid w:val="006751AD"/>
    <w:rsid w:val="006761CA"/>
    <w:rsid w:val="00677248"/>
    <w:rsid w:val="006816B0"/>
    <w:rsid w:val="00682045"/>
    <w:rsid w:val="00684578"/>
    <w:rsid w:val="006868A6"/>
    <w:rsid w:val="00687FCD"/>
    <w:rsid w:val="00690521"/>
    <w:rsid w:val="00693496"/>
    <w:rsid w:val="00694B7B"/>
    <w:rsid w:val="006A162D"/>
    <w:rsid w:val="006A3AAF"/>
    <w:rsid w:val="006A7396"/>
    <w:rsid w:val="006B2396"/>
    <w:rsid w:val="006C2D4C"/>
    <w:rsid w:val="006C3FAE"/>
    <w:rsid w:val="006C553B"/>
    <w:rsid w:val="006D28F4"/>
    <w:rsid w:val="006D2C16"/>
    <w:rsid w:val="006D4648"/>
    <w:rsid w:val="006D48AA"/>
    <w:rsid w:val="006D6754"/>
    <w:rsid w:val="006E2563"/>
    <w:rsid w:val="006E2813"/>
    <w:rsid w:val="006E3604"/>
    <w:rsid w:val="006E4BEE"/>
    <w:rsid w:val="006E6CC5"/>
    <w:rsid w:val="006F0803"/>
    <w:rsid w:val="006F5E12"/>
    <w:rsid w:val="00702EE0"/>
    <w:rsid w:val="0070354E"/>
    <w:rsid w:val="007068D4"/>
    <w:rsid w:val="00720218"/>
    <w:rsid w:val="00732EE0"/>
    <w:rsid w:val="00737B48"/>
    <w:rsid w:val="007429FB"/>
    <w:rsid w:val="007463B1"/>
    <w:rsid w:val="00747547"/>
    <w:rsid w:val="00747D39"/>
    <w:rsid w:val="00753878"/>
    <w:rsid w:val="0075445F"/>
    <w:rsid w:val="007562A1"/>
    <w:rsid w:val="007570AF"/>
    <w:rsid w:val="00761DB6"/>
    <w:rsid w:val="00767342"/>
    <w:rsid w:val="007702C4"/>
    <w:rsid w:val="00775E33"/>
    <w:rsid w:val="0078221E"/>
    <w:rsid w:val="0078349D"/>
    <w:rsid w:val="00784F41"/>
    <w:rsid w:val="007905BB"/>
    <w:rsid w:val="00790E50"/>
    <w:rsid w:val="007930E1"/>
    <w:rsid w:val="007942A4"/>
    <w:rsid w:val="007A0223"/>
    <w:rsid w:val="007A12CF"/>
    <w:rsid w:val="007A3D11"/>
    <w:rsid w:val="007A6DD2"/>
    <w:rsid w:val="007A796B"/>
    <w:rsid w:val="007B0F64"/>
    <w:rsid w:val="007B105F"/>
    <w:rsid w:val="007B1828"/>
    <w:rsid w:val="007B20BD"/>
    <w:rsid w:val="007B2BCA"/>
    <w:rsid w:val="007B4118"/>
    <w:rsid w:val="007C0E71"/>
    <w:rsid w:val="007C495D"/>
    <w:rsid w:val="007D57FA"/>
    <w:rsid w:val="007D6A2B"/>
    <w:rsid w:val="007D70A3"/>
    <w:rsid w:val="007E19B6"/>
    <w:rsid w:val="007E1CC1"/>
    <w:rsid w:val="007E4AA2"/>
    <w:rsid w:val="007E62C8"/>
    <w:rsid w:val="007E728D"/>
    <w:rsid w:val="007E76AC"/>
    <w:rsid w:val="007E7EF2"/>
    <w:rsid w:val="007F1A9A"/>
    <w:rsid w:val="007F56D3"/>
    <w:rsid w:val="00805553"/>
    <w:rsid w:val="00806B3B"/>
    <w:rsid w:val="00806F70"/>
    <w:rsid w:val="00807108"/>
    <w:rsid w:val="00812BBF"/>
    <w:rsid w:val="00814B05"/>
    <w:rsid w:val="00820DD4"/>
    <w:rsid w:val="00827994"/>
    <w:rsid w:val="00830966"/>
    <w:rsid w:val="008309B3"/>
    <w:rsid w:val="008339DC"/>
    <w:rsid w:val="0084228B"/>
    <w:rsid w:val="008527D9"/>
    <w:rsid w:val="008539FB"/>
    <w:rsid w:val="00854A75"/>
    <w:rsid w:val="00854B49"/>
    <w:rsid w:val="008676D8"/>
    <w:rsid w:val="0087246B"/>
    <w:rsid w:val="00874173"/>
    <w:rsid w:val="00877B97"/>
    <w:rsid w:val="0088191E"/>
    <w:rsid w:val="008A27CB"/>
    <w:rsid w:val="008A297D"/>
    <w:rsid w:val="008A67FB"/>
    <w:rsid w:val="008B588B"/>
    <w:rsid w:val="008B7FC3"/>
    <w:rsid w:val="008C2E79"/>
    <w:rsid w:val="008C39A6"/>
    <w:rsid w:val="008C5013"/>
    <w:rsid w:val="008C7357"/>
    <w:rsid w:val="008D434B"/>
    <w:rsid w:val="008D6D3E"/>
    <w:rsid w:val="008E0938"/>
    <w:rsid w:val="008E0E3E"/>
    <w:rsid w:val="008F65B3"/>
    <w:rsid w:val="0090028B"/>
    <w:rsid w:val="00903374"/>
    <w:rsid w:val="009035AE"/>
    <w:rsid w:val="00903785"/>
    <w:rsid w:val="00904682"/>
    <w:rsid w:val="0092465D"/>
    <w:rsid w:val="0093233C"/>
    <w:rsid w:val="00934EE2"/>
    <w:rsid w:val="009367C2"/>
    <w:rsid w:val="00940772"/>
    <w:rsid w:val="00944392"/>
    <w:rsid w:val="0094465E"/>
    <w:rsid w:val="00947F44"/>
    <w:rsid w:val="0095367E"/>
    <w:rsid w:val="00957B57"/>
    <w:rsid w:val="00961216"/>
    <w:rsid w:val="00964974"/>
    <w:rsid w:val="00966AB3"/>
    <w:rsid w:val="00971A35"/>
    <w:rsid w:val="00974FDE"/>
    <w:rsid w:val="00976B38"/>
    <w:rsid w:val="009858DA"/>
    <w:rsid w:val="00985BCA"/>
    <w:rsid w:val="00986955"/>
    <w:rsid w:val="00990DCD"/>
    <w:rsid w:val="00992CB9"/>
    <w:rsid w:val="00992D55"/>
    <w:rsid w:val="009A1660"/>
    <w:rsid w:val="009A1D8F"/>
    <w:rsid w:val="009B0943"/>
    <w:rsid w:val="009B1579"/>
    <w:rsid w:val="009B29CF"/>
    <w:rsid w:val="009B472D"/>
    <w:rsid w:val="009B481F"/>
    <w:rsid w:val="009B4AA5"/>
    <w:rsid w:val="009B707E"/>
    <w:rsid w:val="009C13DB"/>
    <w:rsid w:val="009C5169"/>
    <w:rsid w:val="009C6EEB"/>
    <w:rsid w:val="009C7F32"/>
    <w:rsid w:val="009C7F9B"/>
    <w:rsid w:val="009D5B58"/>
    <w:rsid w:val="009E041D"/>
    <w:rsid w:val="009E2F18"/>
    <w:rsid w:val="009E538D"/>
    <w:rsid w:val="009E7757"/>
    <w:rsid w:val="009F0EAB"/>
    <w:rsid w:val="009F507B"/>
    <w:rsid w:val="009F6A6A"/>
    <w:rsid w:val="009F6E89"/>
    <w:rsid w:val="00A0212D"/>
    <w:rsid w:val="00A10B09"/>
    <w:rsid w:val="00A1116E"/>
    <w:rsid w:val="00A25366"/>
    <w:rsid w:val="00A40847"/>
    <w:rsid w:val="00A42EED"/>
    <w:rsid w:val="00A44C9E"/>
    <w:rsid w:val="00A4571C"/>
    <w:rsid w:val="00A5163B"/>
    <w:rsid w:val="00A6013A"/>
    <w:rsid w:val="00A65E17"/>
    <w:rsid w:val="00A67EAD"/>
    <w:rsid w:val="00A73130"/>
    <w:rsid w:val="00A7517A"/>
    <w:rsid w:val="00A8478A"/>
    <w:rsid w:val="00A9053D"/>
    <w:rsid w:val="00A905A3"/>
    <w:rsid w:val="00A92802"/>
    <w:rsid w:val="00A950A9"/>
    <w:rsid w:val="00A9518C"/>
    <w:rsid w:val="00A96494"/>
    <w:rsid w:val="00AA34B6"/>
    <w:rsid w:val="00AA3E10"/>
    <w:rsid w:val="00AA463A"/>
    <w:rsid w:val="00AA50D4"/>
    <w:rsid w:val="00AA60A2"/>
    <w:rsid w:val="00AB3CBE"/>
    <w:rsid w:val="00AB537A"/>
    <w:rsid w:val="00AB6702"/>
    <w:rsid w:val="00AC15F3"/>
    <w:rsid w:val="00AC1D51"/>
    <w:rsid w:val="00AC3C9F"/>
    <w:rsid w:val="00AC50D8"/>
    <w:rsid w:val="00AC6A00"/>
    <w:rsid w:val="00AD7AE9"/>
    <w:rsid w:val="00AE0C5B"/>
    <w:rsid w:val="00AE15E5"/>
    <w:rsid w:val="00AE3D2E"/>
    <w:rsid w:val="00AF0C68"/>
    <w:rsid w:val="00AF310E"/>
    <w:rsid w:val="00AF6E80"/>
    <w:rsid w:val="00B0092F"/>
    <w:rsid w:val="00B01CFB"/>
    <w:rsid w:val="00B058F9"/>
    <w:rsid w:val="00B102D8"/>
    <w:rsid w:val="00B150E6"/>
    <w:rsid w:val="00B154AA"/>
    <w:rsid w:val="00B22ACF"/>
    <w:rsid w:val="00B237E3"/>
    <w:rsid w:val="00B2677C"/>
    <w:rsid w:val="00B2736F"/>
    <w:rsid w:val="00B3234C"/>
    <w:rsid w:val="00B329D0"/>
    <w:rsid w:val="00B329EF"/>
    <w:rsid w:val="00B3437B"/>
    <w:rsid w:val="00B37308"/>
    <w:rsid w:val="00B505BF"/>
    <w:rsid w:val="00B50C81"/>
    <w:rsid w:val="00B53C40"/>
    <w:rsid w:val="00B55FE0"/>
    <w:rsid w:val="00B6107E"/>
    <w:rsid w:val="00B7119C"/>
    <w:rsid w:val="00B8076E"/>
    <w:rsid w:val="00B8263D"/>
    <w:rsid w:val="00B9007C"/>
    <w:rsid w:val="00B91590"/>
    <w:rsid w:val="00B95D26"/>
    <w:rsid w:val="00B9720A"/>
    <w:rsid w:val="00B97D2F"/>
    <w:rsid w:val="00B97F67"/>
    <w:rsid w:val="00BA0D6B"/>
    <w:rsid w:val="00BA15AF"/>
    <w:rsid w:val="00BA58C1"/>
    <w:rsid w:val="00BA757C"/>
    <w:rsid w:val="00BB194F"/>
    <w:rsid w:val="00BB2DFA"/>
    <w:rsid w:val="00BB3B46"/>
    <w:rsid w:val="00BC3BD7"/>
    <w:rsid w:val="00BC4838"/>
    <w:rsid w:val="00BC6A33"/>
    <w:rsid w:val="00BD1347"/>
    <w:rsid w:val="00BD314F"/>
    <w:rsid w:val="00BD5C9F"/>
    <w:rsid w:val="00BD771D"/>
    <w:rsid w:val="00BE06EF"/>
    <w:rsid w:val="00BE1189"/>
    <w:rsid w:val="00BE159F"/>
    <w:rsid w:val="00BE2AA9"/>
    <w:rsid w:val="00BF241A"/>
    <w:rsid w:val="00BF3198"/>
    <w:rsid w:val="00C108EC"/>
    <w:rsid w:val="00C127A8"/>
    <w:rsid w:val="00C14E4D"/>
    <w:rsid w:val="00C202BE"/>
    <w:rsid w:val="00C2101B"/>
    <w:rsid w:val="00C21092"/>
    <w:rsid w:val="00C229CB"/>
    <w:rsid w:val="00C24128"/>
    <w:rsid w:val="00C33C8A"/>
    <w:rsid w:val="00C34D8D"/>
    <w:rsid w:val="00C35AB9"/>
    <w:rsid w:val="00C35D30"/>
    <w:rsid w:val="00C3676C"/>
    <w:rsid w:val="00C36899"/>
    <w:rsid w:val="00C4090A"/>
    <w:rsid w:val="00C42359"/>
    <w:rsid w:val="00C42B63"/>
    <w:rsid w:val="00C440D4"/>
    <w:rsid w:val="00C45FCE"/>
    <w:rsid w:val="00C47595"/>
    <w:rsid w:val="00C53F01"/>
    <w:rsid w:val="00C62A27"/>
    <w:rsid w:val="00C666DB"/>
    <w:rsid w:val="00C7344D"/>
    <w:rsid w:val="00C758BD"/>
    <w:rsid w:val="00C8175E"/>
    <w:rsid w:val="00C87890"/>
    <w:rsid w:val="00C90D81"/>
    <w:rsid w:val="00C966C6"/>
    <w:rsid w:val="00CA056A"/>
    <w:rsid w:val="00CA0E4A"/>
    <w:rsid w:val="00CA27B3"/>
    <w:rsid w:val="00CA429B"/>
    <w:rsid w:val="00CA5851"/>
    <w:rsid w:val="00CA694C"/>
    <w:rsid w:val="00CB385B"/>
    <w:rsid w:val="00CB3C8B"/>
    <w:rsid w:val="00CB4592"/>
    <w:rsid w:val="00CB6FA4"/>
    <w:rsid w:val="00CC377B"/>
    <w:rsid w:val="00CC47C7"/>
    <w:rsid w:val="00CC6EBD"/>
    <w:rsid w:val="00CD07D9"/>
    <w:rsid w:val="00CD4E8D"/>
    <w:rsid w:val="00CD6750"/>
    <w:rsid w:val="00CE048C"/>
    <w:rsid w:val="00CE1585"/>
    <w:rsid w:val="00CE2241"/>
    <w:rsid w:val="00CE36C3"/>
    <w:rsid w:val="00CE47A7"/>
    <w:rsid w:val="00CF3DEE"/>
    <w:rsid w:val="00CF6C00"/>
    <w:rsid w:val="00CF7EC6"/>
    <w:rsid w:val="00D02064"/>
    <w:rsid w:val="00D02F6C"/>
    <w:rsid w:val="00D04D31"/>
    <w:rsid w:val="00D06C1F"/>
    <w:rsid w:val="00D07035"/>
    <w:rsid w:val="00D10691"/>
    <w:rsid w:val="00D23E7B"/>
    <w:rsid w:val="00D2479B"/>
    <w:rsid w:val="00D37B75"/>
    <w:rsid w:val="00D40EDA"/>
    <w:rsid w:val="00D42537"/>
    <w:rsid w:val="00D43A87"/>
    <w:rsid w:val="00D51520"/>
    <w:rsid w:val="00D63E52"/>
    <w:rsid w:val="00D760A3"/>
    <w:rsid w:val="00D82356"/>
    <w:rsid w:val="00D85980"/>
    <w:rsid w:val="00D86122"/>
    <w:rsid w:val="00D94D0D"/>
    <w:rsid w:val="00DA2A8F"/>
    <w:rsid w:val="00DA2FD9"/>
    <w:rsid w:val="00DA690A"/>
    <w:rsid w:val="00DB08BE"/>
    <w:rsid w:val="00DB0B06"/>
    <w:rsid w:val="00DB47D6"/>
    <w:rsid w:val="00DB534C"/>
    <w:rsid w:val="00DC0BF8"/>
    <w:rsid w:val="00DC14F4"/>
    <w:rsid w:val="00DC1889"/>
    <w:rsid w:val="00DD2B42"/>
    <w:rsid w:val="00DD5760"/>
    <w:rsid w:val="00DF1F2F"/>
    <w:rsid w:val="00DF71B4"/>
    <w:rsid w:val="00E100B2"/>
    <w:rsid w:val="00E126EA"/>
    <w:rsid w:val="00E12BC0"/>
    <w:rsid w:val="00E16137"/>
    <w:rsid w:val="00E17B31"/>
    <w:rsid w:val="00E23B89"/>
    <w:rsid w:val="00E2506E"/>
    <w:rsid w:val="00E269B7"/>
    <w:rsid w:val="00E27107"/>
    <w:rsid w:val="00E277A9"/>
    <w:rsid w:val="00E34003"/>
    <w:rsid w:val="00E42DF8"/>
    <w:rsid w:val="00E43EAB"/>
    <w:rsid w:val="00E449B5"/>
    <w:rsid w:val="00E46C25"/>
    <w:rsid w:val="00E538AC"/>
    <w:rsid w:val="00E5650F"/>
    <w:rsid w:val="00E56B42"/>
    <w:rsid w:val="00E65A82"/>
    <w:rsid w:val="00E73AF0"/>
    <w:rsid w:val="00E92105"/>
    <w:rsid w:val="00E93E44"/>
    <w:rsid w:val="00EA45E9"/>
    <w:rsid w:val="00EA7339"/>
    <w:rsid w:val="00EB1E12"/>
    <w:rsid w:val="00EB239B"/>
    <w:rsid w:val="00EB2EE0"/>
    <w:rsid w:val="00EB379C"/>
    <w:rsid w:val="00EB6B9C"/>
    <w:rsid w:val="00EB6FCC"/>
    <w:rsid w:val="00EE1308"/>
    <w:rsid w:val="00EE6EBF"/>
    <w:rsid w:val="00EF0236"/>
    <w:rsid w:val="00EF5239"/>
    <w:rsid w:val="00F02666"/>
    <w:rsid w:val="00F02CCE"/>
    <w:rsid w:val="00F034E8"/>
    <w:rsid w:val="00F06B36"/>
    <w:rsid w:val="00F13CCE"/>
    <w:rsid w:val="00F176D2"/>
    <w:rsid w:val="00F17E05"/>
    <w:rsid w:val="00F30A27"/>
    <w:rsid w:val="00F30B42"/>
    <w:rsid w:val="00F3323A"/>
    <w:rsid w:val="00F33E30"/>
    <w:rsid w:val="00F418B4"/>
    <w:rsid w:val="00F46756"/>
    <w:rsid w:val="00F51289"/>
    <w:rsid w:val="00F51DCE"/>
    <w:rsid w:val="00F61738"/>
    <w:rsid w:val="00F73284"/>
    <w:rsid w:val="00F757BF"/>
    <w:rsid w:val="00F80AAE"/>
    <w:rsid w:val="00F81D20"/>
    <w:rsid w:val="00F837F7"/>
    <w:rsid w:val="00F85180"/>
    <w:rsid w:val="00F8595F"/>
    <w:rsid w:val="00F9395D"/>
    <w:rsid w:val="00FA057E"/>
    <w:rsid w:val="00FA2BD3"/>
    <w:rsid w:val="00FB0983"/>
    <w:rsid w:val="00FB3FEF"/>
    <w:rsid w:val="00FB4EE8"/>
    <w:rsid w:val="00FC0A09"/>
    <w:rsid w:val="00FC2F1B"/>
    <w:rsid w:val="00FC4D2E"/>
    <w:rsid w:val="00FC6C1C"/>
    <w:rsid w:val="00FF272D"/>
    <w:rsid w:val="00FF3807"/>
    <w:rsid w:val="5A593198"/>
  </w:rsids>
  <m:mathPr>
    <m:mathFont m:val="Cambria Math"/>
    <m:brkBin m:val="before"/>
    <m:brkBinSub m:val="--"/>
    <m:smallFrac m:val="0"/>
    <m:dispDef/>
    <m:lMargin m:val="0"/>
    <m:rMargin m:val="0"/>
    <m:defJc m:val="centerGroup"/>
    <m:wrapIndent m:val="1440"/>
    <m:intLim m:val="subSup"/>
    <m:naryLim m:val="undOvr"/>
  </m:mathPr>
  <w:doNotAutoCompressPictures/>
  <w:themeFontLang w:val="lt-LT"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iPriority="99" w:semiHidden="0" w:name="header" w:locked="1"/>
    <w:lsdException w:qFormat="1" w:uiPriority="99" w:semiHidden="0" w:name="footer" w:locked="1"/>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sdException w:uiPriority="99" w:name="Document Map" w:locked="1"/>
    <w:lsdException w:uiPriority="99" w:name="Plain Text" w:locked="1"/>
    <w:lsdException w:uiPriority="99" w:name="E-mail Signature" w:locked="1"/>
    <w:lsdException w:qFormat="1" w:unhideWhenUsed="0" w:uiPriority="99"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2" w:lineRule="auto"/>
      <w:jc w:val="both"/>
    </w:pPr>
    <w:rPr>
      <w:rFonts w:ascii="Calibri" w:hAnsi="Calibri" w:eastAsia="Times New Roman" w:cs="Calibri"/>
      <w:sz w:val="22"/>
      <w:szCs w:val="22"/>
      <w:lang w:val="lt-LT" w:eastAsia="en-US" w:bidi="ar-SA"/>
    </w:rPr>
  </w:style>
  <w:style w:type="paragraph" w:styleId="2">
    <w:name w:val="heading 1"/>
    <w:basedOn w:val="1"/>
    <w:next w:val="1"/>
    <w:link w:val="23"/>
    <w:qFormat/>
    <w:uiPriority w:val="99"/>
    <w:pPr>
      <w:keepNext/>
      <w:keepLines/>
      <w:spacing w:before="320" w:after="40"/>
      <w:outlineLvl w:val="0"/>
    </w:pPr>
    <w:rPr>
      <w:rFonts w:ascii="Calibri Light" w:hAnsi="Calibri Light" w:cs="Calibri Light"/>
      <w:b/>
      <w:bCs/>
      <w:caps/>
      <w:spacing w:val="4"/>
      <w:sz w:val="28"/>
      <w:szCs w:val="28"/>
    </w:rPr>
  </w:style>
  <w:style w:type="paragraph" w:styleId="3">
    <w:name w:val="heading 2"/>
    <w:basedOn w:val="1"/>
    <w:next w:val="1"/>
    <w:link w:val="24"/>
    <w:qFormat/>
    <w:uiPriority w:val="99"/>
    <w:pPr>
      <w:keepNext/>
      <w:keepLines/>
      <w:spacing w:before="120" w:after="0"/>
      <w:outlineLvl w:val="1"/>
    </w:pPr>
    <w:rPr>
      <w:rFonts w:ascii="Calibri Light" w:hAnsi="Calibri Light" w:cs="Calibri Light"/>
      <w:b/>
      <w:bCs/>
      <w:sz w:val="28"/>
      <w:szCs w:val="28"/>
    </w:rPr>
  </w:style>
  <w:style w:type="paragraph" w:styleId="4">
    <w:name w:val="heading 3"/>
    <w:basedOn w:val="1"/>
    <w:next w:val="1"/>
    <w:link w:val="25"/>
    <w:qFormat/>
    <w:uiPriority w:val="99"/>
    <w:pPr>
      <w:keepNext/>
      <w:keepLines/>
      <w:spacing w:before="120" w:after="0"/>
      <w:outlineLvl w:val="2"/>
    </w:pPr>
    <w:rPr>
      <w:rFonts w:ascii="Calibri Light" w:hAnsi="Calibri Light" w:cs="Calibri Light"/>
      <w:spacing w:val="4"/>
      <w:sz w:val="24"/>
      <w:szCs w:val="24"/>
    </w:rPr>
  </w:style>
  <w:style w:type="paragraph" w:styleId="5">
    <w:name w:val="heading 4"/>
    <w:basedOn w:val="1"/>
    <w:next w:val="1"/>
    <w:link w:val="26"/>
    <w:qFormat/>
    <w:uiPriority w:val="99"/>
    <w:pPr>
      <w:keepNext/>
      <w:keepLines/>
      <w:spacing w:before="120" w:after="0"/>
      <w:outlineLvl w:val="3"/>
    </w:pPr>
    <w:rPr>
      <w:rFonts w:ascii="Calibri Light" w:hAnsi="Calibri Light" w:cs="Calibri Light"/>
      <w:i/>
      <w:iCs/>
      <w:sz w:val="24"/>
      <w:szCs w:val="24"/>
    </w:rPr>
  </w:style>
  <w:style w:type="paragraph" w:styleId="6">
    <w:name w:val="heading 5"/>
    <w:basedOn w:val="1"/>
    <w:next w:val="1"/>
    <w:link w:val="27"/>
    <w:qFormat/>
    <w:uiPriority w:val="99"/>
    <w:pPr>
      <w:keepNext/>
      <w:keepLines/>
      <w:spacing w:before="120" w:after="0"/>
      <w:outlineLvl w:val="4"/>
    </w:pPr>
    <w:rPr>
      <w:rFonts w:ascii="Calibri Light" w:hAnsi="Calibri Light" w:cs="Calibri Light"/>
      <w:b/>
      <w:bCs/>
    </w:rPr>
  </w:style>
  <w:style w:type="paragraph" w:styleId="7">
    <w:name w:val="heading 6"/>
    <w:basedOn w:val="1"/>
    <w:next w:val="1"/>
    <w:link w:val="28"/>
    <w:qFormat/>
    <w:uiPriority w:val="99"/>
    <w:pPr>
      <w:keepNext/>
      <w:keepLines/>
      <w:spacing w:before="120" w:after="0"/>
      <w:outlineLvl w:val="5"/>
    </w:pPr>
    <w:rPr>
      <w:rFonts w:ascii="Calibri Light" w:hAnsi="Calibri Light" w:cs="Calibri Light"/>
      <w:b/>
      <w:bCs/>
      <w:i/>
      <w:iCs/>
    </w:rPr>
  </w:style>
  <w:style w:type="paragraph" w:styleId="8">
    <w:name w:val="heading 7"/>
    <w:basedOn w:val="1"/>
    <w:next w:val="1"/>
    <w:link w:val="29"/>
    <w:qFormat/>
    <w:uiPriority w:val="99"/>
    <w:pPr>
      <w:keepNext/>
      <w:keepLines/>
      <w:spacing w:before="120" w:after="0"/>
      <w:outlineLvl w:val="6"/>
    </w:pPr>
    <w:rPr>
      <w:i/>
      <w:iCs/>
    </w:rPr>
  </w:style>
  <w:style w:type="paragraph" w:styleId="9">
    <w:name w:val="heading 8"/>
    <w:basedOn w:val="1"/>
    <w:next w:val="1"/>
    <w:link w:val="30"/>
    <w:qFormat/>
    <w:uiPriority w:val="99"/>
    <w:pPr>
      <w:keepNext/>
      <w:keepLines/>
      <w:spacing w:before="120" w:after="0"/>
      <w:outlineLvl w:val="7"/>
    </w:pPr>
    <w:rPr>
      <w:b/>
      <w:bCs/>
    </w:rPr>
  </w:style>
  <w:style w:type="paragraph" w:styleId="10">
    <w:name w:val="heading 9"/>
    <w:basedOn w:val="1"/>
    <w:next w:val="1"/>
    <w:link w:val="31"/>
    <w:qFormat/>
    <w:uiPriority w:val="99"/>
    <w:pPr>
      <w:keepNext/>
      <w:keepLines/>
      <w:spacing w:before="120" w:after="0"/>
      <w:outlineLvl w:val="8"/>
    </w:pPr>
    <w:rPr>
      <w:i/>
      <w:iCs/>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50"/>
    <w:semiHidden/>
    <w:qFormat/>
    <w:uiPriority w:val="99"/>
    <w:pPr>
      <w:spacing w:after="0" w:line="240" w:lineRule="auto"/>
    </w:pPr>
    <w:rPr>
      <w:rFonts w:ascii="Segoe UI" w:hAnsi="Segoe UI" w:cs="Segoe UI"/>
      <w:sz w:val="18"/>
      <w:szCs w:val="18"/>
    </w:rPr>
  </w:style>
  <w:style w:type="paragraph" w:styleId="14">
    <w:name w:val="caption"/>
    <w:basedOn w:val="1"/>
    <w:next w:val="1"/>
    <w:qFormat/>
    <w:uiPriority w:val="99"/>
    <w:rPr>
      <w:b/>
      <w:bCs/>
      <w:sz w:val="18"/>
      <w:szCs w:val="18"/>
    </w:rPr>
  </w:style>
  <w:style w:type="character" w:styleId="15">
    <w:name w:val="Emphasis"/>
    <w:basedOn w:val="11"/>
    <w:qFormat/>
    <w:uiPriority w:val="20"/>
    <w:rPr>
      <w:i/>
      <w:iCs/>
      <w:color w:val="auto"/>
    </w:rPr>
  </w:style>
  <w:style w:type="paragraph" w:styleId="16">
    <w:name w:val="footer"/>
    <w:basedOn w:val="1"/>
    <w:link w:val="52"/>
    <w:unhideWhenUsed/>
    <w:qFormat/>
    <w:locked/>
    <w:uiPriority w:val="99"/>
    <w:pPr>
      <w:tabs>
        <w:tab w:val="center" w:pos="4680"/>
        <w:tab w:val="right" w:pos="9360"/>
      </w:tabs>
      <w:spacing w:after="0" w:line="240" w:lineRule="auto"/>
    </w:pPr>
  </w:style>
  <w:style w:type="paragraph" w:styleId="17">
    <w:name w:val="header"/>
    <w:basedOn w:val="1"/>
    <w:link w:val="51"/>
    <w:unhideWhenUsed/>
    <w:qFormat/>
    <w:locked/>
    <w:uiPriority w:val="99"/>
    <w:pPr>
      <w:tabs>
        <w:tab w:val="center" w:pos="4680"/>
        <w:tab w:val="right" w:pos="9360"/>
      </w:tabs>
      <w:spacing w:after="0" w:line="240" w:lineRule="auto"/>
    </w:pPr>
  </w:style>
  <w:style w:type="paragraph" w:styleId="18">
    <w:name w:val="Normal (Web)"/>
    <w:basedOn w:val="1"/>
    <w:semiHidden/>
    <w:qFormat/>
    <w:uiPriority w:val="99"/>
    <w:pPr>
      <w:spacing w:before="100" w:beforeAutospacing="1" w:after="100" w:afterAutospacing="1" w:line="240" w:lineRule="auto"/>
    </w:pPr>
    <w:rPr>
      <w:sz w:val="24"/>
      <w:szCs w:val="24"/>
      <w:lang w:eastAsia="lt-LT"/>
    </w:rPr>
  </w:style>
  <w:style w:type="character" w:styleId="19">
    <w:name w:val="Strong"/>
    <w:basedOn w:val="11"/>
    <w:qFormat/>
    <w:uiPriority w:val="99"/>
    <w:rPr>
      <w:b/>
      <w:bCs/>
      <w:color w:val="auto"/>
    </w:rPr>
  </w:style>
  <w:style w:type="paragraph" w:styleId="20">
    <w:name w:val="Subtitle"/>
    <w:basedOn w:val="1"/>
    <w:next w:val="1"/>
    <w:link w:val="39"/>
    <w:qFormat/>
    <w:uiPriority w:val="99"/>
    <w:pPr>
      <w:spacing w:after="240"/>
      <w:jc w:val="center"/>
    </w:pPr>
    <w:rPr>
      <w:rFonts w:ascii="Calibri Light" w:hAnsi="Calibri Light" w:cs="Calibri Light"/>
      <w:sz w:val="24"/>
      <w:szCs w:val="24"/>
    </w:rPr>
  </w:style>
  <w:style w:type="table" w:styleId="21">
    <w:name w:val="Table Grid"/>
    <w:basedOn w:val="12"/>
    <w:qFormat/>
    <w:uiPriority w:val="99"/>
    <w:rPr>
      <w:rFonts w:cs="Calibri"/>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2">
    <w:name w:val="Title"/>
    <w:basedOn w:val="1"/>
    <w:next w:val="1"/>
    <w:link w:val="38"/>
    <w:qFormat/>
    <w:uiPriority w:val="99"/>
    <w:pPr>
      <w:spacing w:after="0" w:line="240" w:lineRule="auto"/>
      <w:jc w:val="center"/>
    </w:pPr>
    <w:rPr>
      <w:rFonts w:ascii="Calibri Light" w:hAnsi="Calibri Light" w:cs="Calibri Light"/>
      <w:b/>
      <w:bCs/>
      <w:spacing w:val="-7"/>
      <w:sz w:val="48"/>
      <w:szCs w:val="48"/>
    </w:rPr>
  </w:style>
  <w:style w:type="character" w:customStyle="1" w:styleId="23">
    <w:name w:val="Antraštė 1 Diagrama"/>
    <w:basedOn w:val="11"/>
    <w:link w:val="2"/>
    <w:locked/>
    <w:uiPriority w:val="99"/>
    <w:rPr>
      <w:rFonts w:ascii="Calibri Light" w:hAnsi="Calibri Light" w:cs="Calibri Light"/>
      <w:b/>
      <w:bCs/>
      <w:caps/>
      <w:spacing w:val="4"/>
      <w:sz w:val="28"/>
      <w:szCs w:val="28"/>
    </w:rPr>
  </w:style>
  <w:style w:type="character" w:customStyle="1" w:styleId="24">
    <w:name w:val="Antraštė 2 Diagrama"/>
    <w:basedOn w:val="11"/>
    <w:link w:val="3"/>
    <w:semiHidden/>
    <w:qFormat/>
    <w:locked/>
    <w:uiPriority w:val="99"/>
    <w:rPr>
      <w:rFonts w:ascii="Calibri Light" w:hAnsi="Calibri Light" w:cs="Calibri Light"/>
      <w:b/>
      <w:bCs/>
      <w:sz w:val="28"/>
      <w:szCs w:val="28"/>
    </w:rPr>
  </w:style>
  <w:style w:type="character" w:customStyle="1" w:styleId="25">
    <w:name w:val="Antraštė 3 Diagrama"/>
    <w:basedOn w:val="11"/>
    <w:link w:val="4"/>
    <w:semiHidden/>
    <w:qFormat/>
    <w:locked/>
    <w:uiPriority w:val="99"/>
    <w:rPr>
      <w:rFonts w:ascii="Calibri Light" w:hAnsi="Calibri Light" w:cs="Calibri Light"/>
      <w:spacing w:val="4"/>
      <w:sz w:val="24"/>
      <w:szCs w:val="24"/>
    </w:rPr>
  </w:style>
  <w:style w:type="character" w:customStyle="1" w:styleId="26">
    <w:name w:val="Antraštė 4 Diagrama"/>
    <w:basedOn w:val="11"/>
    <w:link w:val="5"/>
    <w:semiHidden/>
    <w:qFormat/>
    <w:locked/>
    <w:uiPriority w:val="99"/>
    <w:rPr>
      <w:rFonts w:ascii="Calibri Light" w:hAnsi="Calibri Light" w:cs="Calibri Light"/>
      <w:i/>
      <w:iCs/>
      <w:sz w:val="24"/>
      <w:szCs w:val="24"/>
    </w:rPr>
  </w:style>
  <w:style w:type="character" w:customStyle="1" w:styleId="27">
    <w:name w:val="Antraštė 5 Diagrama"/>
    <w:basedOn w:val="11"/>
    <w:link w:val="6"/>
    <w:semiHidden/>
    <w:locked/>
    <w:uiPriority w:val="99"/>
    <w:rPr>
      <w:rFonts w:ascii="Calibri Light" w:hAnsi="Calibri Light" w:cs="Calibri Light"/>
      <w:b/>
      <w:bCs/>
    </w:rPr>
  </w:style>
  <w:style w:type="character" w:customStyle="1" w:styleId="28">
    <w:name w:val="Antraštė 6 Diagrama"/>
    <w:basedOn w:val="11"/>
    <w:link w:val="7"/>
    <w:semiHidden/>
    <w:qFormat/>
    <w:locked/>
    <w:uiPriority w:val="99"/>
    <w:rPr>
      <w:rFonts w:ascii="Calibri Light" w:hAnsi="Calibri Light" w:cs="Calibri Light"/>
      <w:b/>
      <w:bCs/>
      <w:i/>
      <w:iCs/>
    </w:rPr>
  </w:style>
  <w:style w:type="character" w:customStyle="1" w:styleId="29">
    <w:name w:val="Antraštė 7 Diagrama"/>
    <w:basedOn w:val="11"/>
    <w:link w:val="8"/>
    <w:semiHidden/>
    <w:locked/>
    <w:uiPriority w:val="99"/>
    <w:rPr>
      <w:i/>
      <w:iCs/>
    </w:rPr>
  </w:style>
  <w:style w:type="character" w:customStyle="1" w:styleId="30">
    <w:name w:val="Antraštė 8 Diagrama"/>
    <w:basedOn w:val="11"/>
    <w:link w:val="9"/>
    <w:semiHidden/>
    <w:qFormat/>
    <w:locked/>
    <w:uiPriority w:val="99"/>
    <w:rPr>
      <w:b/>
      <w:bCs/>
    </w:rPr>
  </w:style>
  <w:style w:type="character" w:customStyle="1" w:styleId="31">
    <w:name w:val="Antraštė 9 Diagrama"/>
    <w:basedOn w:val="11"/>
    <w:link w:val="10"/>
    <w:semiHidden/>
    <w:qFormat/>
    <w:locked/>
    <w:uiPriority w:val="99"/>
    <w:rPr>
      <w:i/>
      <w:iCs/>
    </w:rPr>
  </w:style>
  <w:style w:type="paragraph" w:styleId="32">
    <w:name w:val="List Paragraph"/>
    <w:basedOn w:val="1"/>
    <w:qFormat/>
    <w:uiPriority w:val="34"/>
    <w:pPr>
      <w:ind w:left="720"/>
    </w:pPr>
  </w:style>
  <w:style w:type="paragraph" w:styleId="33">
    <w:name w:val="No Spacing"/>
    <w:qFormat/>
    <w:uiPriority w:val="99"/>
    <w:pPr>
      <w:jc w:val="both"/>
    </w:pPr>
    <w:rPr>
      <w:rFonts w:ascii="Calibri" w:hAnsi="Calibri" w:eastAsia="Times New Roman" w:cs="Calibri"/>
      <w:sz w:val="22"/>
      <w:szCs w:val="22"/>
      <w:lang w:val="lt-LT" w:eastAsia="en-US" w:bidi="ar-SA"/>
    </w:rPr>
  </w:style>
  <w:style w:type="character" w:customStyle="1" w:styleId="34">
    <w:name w:val="Body text (4)_"/>
    <w:basedOn w:val="11"/>
    <w:link w:val="35"/>
    <w:qFormat/>
    <w:locked/>
    <w:uiPriority w:val="99"/>
    <w:rPr>
      <w:rFonts w:ascii="Times New Roman" w:hAnsi="Times New Roman" w:cs="Times New Roman"/>
      <w:b/>
      <w:bCs/>
      <w:shd w:val="clear" w:color="auto" w:fill="FFFFFF"/>
    </w:rPr>
  </w:style>
  <w:style w:type="paragraph" w:customStyle="1" w:styleId="35">
    <w:name w:val="Body text (4)"/>
    <w:basedOn w:val="1"/>
    <w:link w:val="34"/>
    <w:qFormat/>
    <w:uiPriority w:val="99"/>
    <w:pPr>
      <w:widowControl w:val="0"/>
      <w:shd w:val="clear" w:color="auto" w:fill="FFFFFF"/>
      <w:spacing w:before="480" w:after="240" w:line="263" w:lineRule="exact"/>
      <w:jc w:val="center"/>
    </w:pPr>
    <w:rPr>
      <w:b/>
      <w:bCs/>
    </w:rPr>
  </w:style>
  <w:style w:type="character" w:customStyle="1" w:styleId="36">
    <w:name w:val="Body text (2)_"/>
    <w:basedOn w:val="11"/>
    <w:link w:val="37"/>
    <w:qFormat/>
    <w:locked/>
    <w:uiPriority w:val="99"/>
    <w:rPr>
      <w:rFonts w:ascii="Times New Roman" w:hAnsi="Times New Roman" w:cs="Times New Roman"/>
      <w:shd w:val="clear" w:color="auto" w:fill="FFFFFF"/>
    </w:rPr>
  </w:style>
  <w:style w:type="paragraph" w:customStyle="1" w:styleId="37">
    <w:name w:val="Body text (2)"/>
    <w:basedOn w:val="1"/>
    <w:link w:val="36"/>
    <w:qFormat/>
    <w:uiPriority w:val="99"/>
    <w:pPr>
      <w:widowControl w:val="0"/>
      <w:shd w:val="clear" w:color="auto" w:fill="FFFFFF"/>
      <w:spacing w:before="300" w:after="0" w:line="266" w:lineRule="exact"/>
    </w:pPr>
  </w:style>
  <w:style w:type="character" w:customStyle="1" w:styleId="38">
    <w:name w:val="Pavadinimas Diagrama"/>
    <w:basedOn w:val="11"/>
    <w:link w:val="22"/>
    <w:qFormat/>
    <w:locked/>
    <w:uiPriority w:val="99"/>
    <w:rPr>
      <w:rFonts w:ascii="Calibri Light" w:hAnsi="Calibri Light" w:cs="Calibri Light"/>
      <w:b/>
      <w:bCs/>
      <w:spacing w:val="-7"/>
      <w:sz w:val="48"/>
      <w:szCs w:val="48"/>
    </w:rPr>
  </w:style>
  <w:style w:type="character" w:customStyle="1" w:styleId="39">
    <w:name w:val="Antrinis pavadinimas Diagrama"/>
    <w:basedOn w:val="11"/>
    <w:link w:val="20"/>
    <w:qFormat/>
    <w:locked/>
    <w:uiPriority w:val="99"/>
    <w:rPr>
      <w:rFonts w:ascii="Calibri Light" w:hAnsi="Calibri Light" w:cs="Calibri Light"/>
      <w:sz w:val="24"/>
      <w:szCs w:val="24"/>
    </w:rPr>
  </w:style>
  <w:style w:type="paragraph" w:styleId="40">
    <w:name w:val="Quote"/>
    <w:basedOn w:val="1"/>
    <w:next w:val="1"/>
    <w:link w:val="41"/>
    <w:qFormat/>
    <w:uiPriority w:val="99"/>
    <w:pPr>
      <w:spacing w:before="200" w:line="264" w:lineRule="auto"/>
      <w:ind w:left="864" w:right="864"/>
      <w:jc w:val="center"/>
    </w:pPr>
    <w:rPr>
      <w:rFonts w:ascii="Calibri Light" w:hAnsi="Calibri Light" w:cs="Calibri Light"/>
      <w:i/>
      <w:iCs/>
      <w:sz w:val="24"/>
      <w:szCs w:val="24"/>
    </w:rPr>
  </w:style>
  <w:style w:type="character" w:customStyle="1" w:styleId="41">
    <w:name w:val="Citata Diagrama"/>
    <w:basedOn w:val="11"/>
    <w:link w:val="40"/>
    <w:qFormat/>
    <w:locked/>
    <w:uiPriority w:val="99"/>
    <w:rPr>
      <w:rFonts w:ascii="Calibri Light" w:hAnsi="Calibri Light" w:cs="Calibri Light"/>
      <w:i/>
      <w:iCs/>
      <w:sz w:val="24"/>
      <w:szCs w:val="24"/>
    </w:rPr>
  </w:style>
  <w:style w:type="paragraph" w:styleId="42">
    <w:name w:val="Intense Quote"/>
    <w:basedOn w:val="1"/>
    <w:next w:val="1"/>
    <w:link w:val="43"/>
    <w:qFormat/>
    <w:uiPriority w:val="99"/>
    <w:pPr>
      <w:spacing w:before="100" w:beforeAutospacing="1" w:after="240"/>
      <w:ind w:left="936" w:right="936"/>
      <w:jc w:val="center"/>
    </w:pPr>
    <w:rPr>
      <w:rFonts w:ascii="Calibri Light" w:hAnsi="Calibri Light" w:cs="Calibri Light"/>
      <w:sz w:val="26"/>
      <w:szCs w:val="26"/>
    </w:rPr>
  </w:style>
  <w:style w:type="character" w:customStyle="1" w:styleId="43">
    <w:name w:val="Išskirta citata Diagrama"/>
    <w:basedOn w:val="11"/>
    <w:link w:val="42"/>
    <w:qFormat/>
    <w:locked/>
    <w:uiPriority w:val="99"/>
    <w:rPr>
      <w:rFonts w:ascii="Calibri Light" w:hAnsi="Calibri Light" w:cs="Calibri Light"/>
      <w:sz w:val="26"/>
      <w:szCs w:val="26"/>
    </w:rPr>
  </w:style>
  <w:style w:type="character" w:customStyle="1" w:styleId="44">
    <w:name w:val="Subtle Emphasis"/>
    <w:basedOn w:val="11"/>
    <w:qFormat/>
    <w:uiPriority w:val="99"/>
    <w:rPr>
      <w:i/>
      <w:iCs/>
      <w:color w:val="auto"/>
    </w:rPr>
  </w:style>
  <w:style w:type="character" w:customStyle="1" w:styleId="45">
    <w:name w:val="Intense Emphasis"/>
    <w:basedOn w:val="11"/>
    <w:qFormat/>
    <w:uiPriority w:val="99"/>
    <w:rPr>
      <w:b/>
      <w:bCs/>
      <w:i/>
      <w:iCs/>
      <w:color w:val="auto"/>
    </w:rPr>
  </w:style>
  <w:style w:type="character" w:customStyle="1" w:styleId="46">
    <w:name w:val="Subtle Reference"/>
    <w:basedOn w:val="11"/>
    <w:qFormat/>
    <w:uiPriority w:val="99"/>
    <w:rPr>
      <w:smallCaps/>
      <w:color w:val="auto"/>
      <w:u w:val="single"/>
    </w:rPr>
  </w:style>
  <w:style w:type="character" w:customStyle="1" w:styleId="47">
    <w:name w:val="Intense Reference"/>
    <w:basedOn w:val="11"/>
    <w:qFormat/>
    <w:uiPriority w:val="99"/>
    <w:rPr>
      <w:b/>
      <w:bCs/>
      <w:smallCaps/>
      <w:color w:val="auto"/>
      <w:u w:val="single"/>
    </w:rPr>
  </w:style>
  <w:style w:type="character" w:customStyle="1" w:styleId="48">
    <w:name w:val="Book Title"/>
    <w:basedOn w:val="11"/>
    <w:qFormat/>
    <w:uiPriority w:val="99"/>
    <w:rPr>
      <w:b/>
      <w:bCs/>
      <w:smallCaps/>
      <w:color w:val="auto"/>
    </w:rPr>
  </w:style>
  <w:style w:type="paragraph" w:customStyle="1" w:styleId="49">
    <w:name w:val="TOC Heading"/>
    <w:basedOn w:val="2"/>
    <w:next w:val="1"/>
    <w:qFormat/>
    <w:uiPriority w:val="99"/>
    <w:pPr>
      <w:outlineLvl w:val="9"/>
    </w:pPr>
  </w:style>
  <w:style w:type="character" w:customStyle="1" w:styleId="50">
    <w:name w:val="Debesėlio tekstas Diagrama"/>
    <w:basedOn w:val="11"/>
    <w:link w:val="13"/>
    <w:semiHidden/>
    <w:qFormat/>
    <w:locked/>
    <w:uiPriority w:val="99"/>
    <w:rPr>
      <w:rFonts w:ascii="Segoe UI" w:hAnsi="Segoe UI" w:cs="Segoe UI"/>
      <w:sz w:val="18"/>
      <w:szCs w:val="18"/>
    </w:rPr>
  </w:style>
  <w:style w:type="character" w:customStyle="1" w:styleId="51">
    <w:name w:val="Antraštės Diagrama"/>
    <w:basedOn w:val="11"/>
    <w:link w:val="17"/>
    <w:qFormat/>
    <w:uiPriority w:val="99"/>
    <w:rPr>
      <w:rFonts w:cs="Calibri"/>
      <w:lang w:eastAsia="en-US"/>
    </w:rPr>
  </w:style>
  <w:style w:type="character" w:customStyle="1" w:styleId="52">
    <w:name w:val="Poraštė Diagrama"/>
    <w:basedOn w:val="11"/>
    <w:link w:val="16"/>
    <w:qFormat/>
    <w:uiPriority w:val="99"/>
    <w:rPr>
      <w:rFonts w:cs="Calibri"/>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1D9F9-F30E-4169-AF00-65714048B2C2}">
  <ds:schemaRefs/>
</ds:datastoreItem>
</file>

<file path=docProps/app.xml><?xml version="1.0" encoding="utf-8"?>
<Properties xmlns="http://schemas.openxmlformats.org/officeDocument/2006/extended-properties" xmlns:vt="http://schemas.openxmlformats.org/officeDocument/2006/docPropsVTypes">
  <Template>Normal</Template>
  <Pages>18</Pages>
  <Words>29285</Words>
  <Characters>16693</Characters>
  <Lines>139</Lines>
  <Paragraphs>91</Paragraphs>
  <TotalTime>1</TotalTime>
  <ScaleCrop>false</ScaleCrop>
  <LinksUpToDate>false</LinksUpToDate>
  <CharactersWithSpaces>45887</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2025-10-02T10:35:00Z</dcterms:created>
  <dc:creator>„Windows“ vartotojas</dc:creator>
  <cp:lastModifiedBy>Nauczyciel</cp:lastModifiedBy>
  <cp:lastPrinted>2025-10-02T10:33:00Z</cp:lastPrinted>
  <dcterms:modified xsi:type="dcterms:W3CDTF">2025-10-02T11:31:04Z</dcterms:modified>
  <dc:title>PATVIRTINTA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B8B5075497644B84A3C8DFBEDE73C845_13</vt:lpwstr>
  </property>
</Properties>
</file>